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1"/>
        <w:jc w:val="center"/>
        <w:rPr>
          <w:rFonts w:ascii="Times New Roman" w:hAnsi="Times New Roman"/>
          <w:color w:val="000000" w:themeColor="text1"/>
          <w:sz w:val="32"/>
          <w14:textFill>
            <w14:solidFill>
              <w14:schemeClr w14:val="tx1"/>
            </w14:solidFill>
          </w14:textFill>
        </w:rPr>
      </w:pPr>
      <w:r>
        <w:rPr>
          <w:rFonts w:ascii="Times New Roman" w:hAnsi="Times New Roman"/>
          <w:color w:val="000000" w:themeColor="text1"/>
          <w:sz w:val="32"/>
          <w:lang w:val="zh-CN"/>
          <w14:textFill>
            <w14:solidFill>
              <w14:schemeClr w14:val="tx1"/>
            </w14:solidFill>
          </w14:textFill>
        </w:rPr>
        <w:t>目</w:t>
      </w:r>
      <w:r>
        <w:rPr>
          <w:rFonts w:ascii="Times New Roman" w:hAnsi="Times New Roman"/>
          <w:color w:val="000000" w:themeColor="text1"/>
          <w:sz w:val="32"/>
          <w14:textFill>
            <w14:solidFill>
              <w14:schemeClr w14:val="tx1"/>
            </w14:solidFill>
          </w14:textFill>
        </w:rPr>
        <w:t xml:space="preserve"> </w:t>
      </w:r>
      <w:r>
        <w:rPr>
          <w:rFonts w:ascii="Times New Roman" w:hAnsi="Times New Roman"/>
          <w:color w:val="000000" w:themeColor="text1"/>
          <w:sz w:val="32"/>
          <w:lang w:val="zh-CN"/>
          <w14:textFill>
            <w14:solidFill>
              <w14:schemeClr w14:val="tx1"/>
            </w14:solidFill>
          </w14:textFill>
        </w:rPr>
        <w:t>录</w:t>
      </w:r>
    </w:p>
    <w:p>
      <w:pPr>
        <w:pStyle w:val="22"/>
        <w:tabs>
          <w:tab w:val="right" w:leader="dot" w:pos="9060"/>
        </w:tabs>
        <w:spacing w:line="360" w:lineRule="auto"/>
        <w:rPr>
          <w:rStyle w:val="33"/>
          <w:color w:val="000000" w:themeColor="text1"/>
          <w:sz w:val="24"/>
          <w14:textFill>
            <w14:solidFill>
              <w14:schemeClr w14:val="tx1"/>
            </w14:solidFill>
          </w14:textFill>
        </w:rPr>
      </w:pP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TOC \o "1-3" \h \z \u </w:instrText>
      </w:r>
      <w:r>
        <w:rPr>
          <w:rStyle w:val="33"/>
          <w:color w:val="000000" w:themeColor="text1"/>
          <w:sz w:val="24"/>
          <w14:textFill>
            <w14:solidFill>
              <w14:schemeClr w14:val="tx1"/>
            </w14:solidFill>
          </w14:textFill>
        </w:rPr>
        <w:fldChar w:fldCharType="separate"/>
      </w:r>
      <w:r>
        <w:fldChar w:fldCharType="begin"/>
      </w:r>
      <w:r>
        <w:instrText xml:space="preserve"> HYPERLINK \l "_Toc525552346" </w:instrText>
      </w:r>
      <w:r>
        <w:fldChar w:fldCharType="separate"/>
      </w:r>
      <w:r>
        <w:rPr>
          <w:rStyle w:val="33"/>
          <w:color w:val="000000" w:themeColor="text1"/>
          <w:sz w:val="24"/>
          <w14:textFill>
            <w14:solidFill>
              <w14:schemeClr w14:val="tx1"/>
            </w14:solidFill>
          </w14:textFill>
        </w:rPr>
        <w:t>表一 基本情况及验收监测依据</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_Toc525552346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1</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"_Toc525552347" </w:instrText>
      </w:r>
      <w:r>
        <w:fldChar w:fldCharType="separate"/>
      </w:r>
      <w:r>
        <w:rPr>
          <w:rStyle w:val="33"/>
          <w:color w:val="000000" w:themeColor="text1"/>
          <w:sz w:val="24"/>
          <w14:textFill>
            <w14:solidFill>
              <w14:schemeClr w14:val="tx1"/>
            </w14:solidFill>
          </w14:textFill>
        </w:rPr>
        <w:t>表二 验收项目基本情况</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_Toc525552347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4</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"_Toc525552348" </w:instrText>
      </w:r>
      <w:r>
        <w:fldChar w:fldCharType="separate"/>
      </w:r>
      <w:r>
        <w:rPr>
          <w:rStyle w:val="33"/>
          <w:color w:val="000000" w:themeColor="text1"/>
          <w:sz w:val="24"/>
          <w14:textFill>
            <w14:solidFill>
              <w14:schemeClr w14:val="tx1"/>
            </w14:solidFill>
          </w14:textFill>
        </w:rPr>
        <w:t>表三 主要污染物处理设施及排放情况</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_Toc525552348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18</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"_Toc525552349" </w:instrText>
      </w:r>
      <w:r>
        <w:fldChar w:fldCharType="separate"/>
      </w:r>
      <w:r>
        <w:rPr>
          <w:rStyle w:val="33"/>
          <w:color w:val="000000" w:themeColor="text1"/>
          <w:sz w:val="24"/>
          <w14:textFill>
            <w14:solidFill>
              <w14:schemeClr w14:val="tx1"/>
            </w14:solidFill>
          </w14:textFill>
        </w:rPr>
        <w:t>表四 环评报告表的主要结论与环评批复要求</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_Toc525552349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26</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"_Toc525552350" </w:instrText>
      </w:r>
      <w:r>
        <w:fldChar w:fldCharType="separate"/>
      </w:r>
      <w:r>
        <w:rPr>
          <w:rStyle w:val="33"/>
          <w:color w:val="000000" w:themeColor="text1"/>
          <w:sz w:val="24"/>
          <w14:textFill>
            <w14:solidFill>
              <w14:schemeClr w14:val="tx1"/>
            </w14:solidFill>
          </w14:textFill>
        </w:rPr>
        <w:t>表五 验收监测质量保证及质量控制</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_Toc525552350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29</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"_Toc525552351" </w:instrText>
      </w:r>
      <w:r>
        <w:fldChar w:fldCharType="separate"/>
      </w:r>
      <w:r>
        <w:rPr>
          <w:rStyle w:val="33"/>
          <w:color w:val="000000" w:themeColor="text1"/>
          <w:sz w:val="24"/>
          <w14:textFill>
            <w14:solidFill>
              <w14:schemeClr w14:val="tx1"/>
            </w14:solidFill>
          </w14:textFill>
        </w:rPr>
        <w:t>表六 验收监测内容</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_Toc525552351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31</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"_Toc525552352" </w:instrText>
      </w:r>
      <w:r>
        <w:fldChar w:fldCharType="separate"/>
      </w:r>
      <w:r>
        <w:rPr>
          <w:rStyle w:val="33"/>
          <w:color w:val="000000" w:themeColor="text1"/>
          <w:sz w:val="24"/>
          <w14:textFill>
            <w14:solidFill>
              <w14:schemeClr w14:val="tx1"/>
            </w14:solidFill>
          </w14:textFill>
        </w:rPr>
        <w:t>表七 验收监测结果</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_Toc525552352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32</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"_Toc525552353" </w:instrText>
      </w:r>
      <w:r>
        <w:fldChar w:fldCharType="separate"/>
      </w:r>
      <w:r>
        <w:rPr>
          <w:rStyle w:val="33"/>
          <w:color w:val="000000" w:themeColor="text1"/>
          <w:sz w:val="24"/>
          <w14:textFill>
            <w14:solidFill>
              <w14:schemeClr w14:val="tx1"/>
            </w14:solidFill>
          </w14:textFill>
        </w:rPr>
        <w:t>表八 环境管理检查结果</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_Toc525552353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35</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"_Toc525552354" </w:instrText>
      </w:r>
      <w:r>
        <w:fldChar w:fldCharType="separate"/>
      </w:r>
      <w:r>
        <w:rPr>
          <w:rStyle w:val="33"/>
          <w:color w:val="000000" w:themeColor="text1"/>
          <w:sz w:val="24"/>
          <w14:textFill>
            <w14:solidFill>
              <w14:schemeClr w14:val="tx1"/>
            </w14:solidFill>
          </w14:textFill>
        </w:rPr>
        <w:t>表九 验收监测结论及建议</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t>3</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t>9</w:t>
      </w:r>
    </w:p>
    <w:p>
      <w:pPr>
        <w:pStyle w:val="22"/>
        <w:tabs>
          <w:tab w:val="right" w:leader="dot" w:pos="9060"/>
        </w:tabs>
        <w:spacing w:line="360" w:lineRule="auto"/>
        <w:rPr>
          <w:rStyle w:val="33"/>
          <w:color w:val="000000" w:themeColor="text1"/>
          <w:sz w:val="24"/>
          <w14:textFill>
            <w14:solidFill>
              <w14:schemeClr w14:val="tx1"/>
            </w14:solidFill>
          </w14:textFill>
        </w:rPr>
      </w:pPr>
      <w:r>
        <w:fldChar w:fldCharType="begin"/>
      </w:r>
      <w:r>
        <w:instrText xml:space="preserve"> HYPERLINK \l "_Toc525552355" </w:instrText>
      </w:r>
      <w:r>
        <w:fldChar w:fldCharType="separate"/>
      </w:r>
      <w:r>
        <w:rPr>
          <w:rStyle w:val="33"/>
          <w:color w:val="000000" w:themeColor="text1"/>
          <w:sz w:val="24"/>
          <w14:textFill>
            <w14:solidFill>
              <w14:schemeClr w14:val="tx1"/>
            </w14:solidFill>
          </w14:textFill>
        </w:rPr>
        <w:t>建设项目工程竣工环境保护“三同时”验收登记表</w:t>
      </w:r>
      <w:r>
        <w:rPr>
          <w:rStyle w:val="33"/>
          <w:color w:val="000000" w:themeColor="text1"/>
          <w:sz w:val="24"/>
          <w14:textFill>
            <w14:solidFill>
              <w14:schemeClr w14:val="tx1"/>
            </w14:solidFill>
          </w14:textFill>
        </w:rPr>
        <w:tab/>
      </w:r>
      <w:r>
        <w:rPr>
          <w:rStyle w:val="33"/>
          <w:color w:val="000000" w:themeColor="text1"/>
          <w:sz w:val="24"/>
          <w14:textFill>
            <w14:solidFill>
              <w14:schemeClr w14:val="tx1"/>
            </w14:solidFill>
          </w14:textFill>
        </w:rPr>
        <w:fldChar w:fldCharType="begin"/>
      </w:r>
      <w:r>
        <w:rPr>
          <w:rStyle w:val="33"/>
          <w:color w:val="000000" w:themeColor="text1"/>
          <w:sz w:val="24"/>
          <w14:textFill>
            <w14:solidFill>
              <w14:schemeClr w14:val="tx1"/>
            </w14:solidFill>
          </w14:textFill>
        </w:rPr>
        <w:instrText xml:space="preserve"> PAGEREF _Toc525552355 \h </w:instrText>
      </w:r>
      <w:r>
        <w:rPr>
          <w:rStyle w:val="33"/>
          <w:color w:val="000000" w:themeColor="text1"/>
          <w:sz w:val="24"/>
          <w14:textFill>
            <w14:solidFill>
              <w14:schemeClr w14:val="tx1"/>
            </w14:solidFill>
          </w14:textFill>
        </w:rPr>
        <w:fldChar w:fldCharType="separate"/>
      </w:r>
      <w:r>
        <w:rPr>
          <w:rStyle w:val="33"/>
          <w:color w:val="000000" w:themeColor="text1"/>
          <w:sz w:val="24"/>
          <w14:textFill>
            <w14:solidFill>
              <w14:schemeClr w14:val="tx1"/>
            </w14:solidFill>
          </w14:textFill>
        </w:rPr>
        <w:t>41</w:t>
      </w:r>
      <w:r>
        <w:rPr>
          <w:rStyle w:val="33"/>
          <w:color w:val="000000" w:themeColor="text1"/>
          <w:sz w:val="24"/>
          <w14:textFill>
            <w14:solidFill>
              <w14:schemeClr w14:val="tx1"/>
            </w14:solidFill>
          </w14:textFill>
        </w:rPr>
        <w:fldChar w:fldCharType="end"/>
      </w:r>
      <w:r>
        <w:rPr>
          <w:rStyle w:val="33"/>
          <w:color w:val="000000" w:themeColor="text1"/>
          <w:sz w:val="24"/>
          <w14:textFill>
            <w14:solidFill>
              <w14:schemeClr w14:val="tx1"/>
            </w14:solidFill>
          </w14:textFill>
        </w:rPr>
        <w:fldChar w:fldCharType="end"/>
      </w:r>
    </w:p>
    <w:p>
      <w:pPr>
        <w:pStyle w:val="22"/>
        <w:tabs>
          <w:tab w:val="right" w:leader="dot" w:pos="9060"/>
        </w:tabs>
        <w:spacing w:line="360" w:lineRule="auto"/>
        <w:rPr>
          <w:rFonts w:eastAsia="黑体"/>
          <w:color w:val="000000" w:themeColor="text1"/>
          <w:sz w:val="30"/>
          <w:szCs w:val="30"/>
          <w14:textFill>
            <w14:solidFill>
              <w14:schemeClr w14:val="tx1"/>
            </w14:solidFill>
          </w14:textFill>
        </w:rPr>
      </w:pPr>
      <w:r>
        <w:rPr>
          <w:rStyle w:val="33"/>
          <w:color w:val="000000" w:themeColor="text1"/>
          <w:sz w:val="24"/>
          <w14:textFill>
            <w14:solidFill>
              <w14:schemeClr w14:val="tx1"/>
            </w14:solidFill>
          </w14:textFill>
        </w:rPr>
        <w:fldChar w:fldCharType="end"/>
      </w:r>
    </w:p>
    <w:p>
      <w:pPr>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br w:type="page"/>
      </w:r>
    </w:p>
    <w:p>
      <w:pPr>
        <w:spacing w:line="360" w:lineRule="auto"/>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附件：</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附件1 竣工环境保护验收委托书</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附件2 环评报告批复</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附件3 </w:t>
      </w:r>
      <w:r>
        <w:rPr>
          <w:rFonts w:hint="eastAsia" w:eastAsiaTheme="minorEastAsia"/>
          <w:color w:val="000000" w:themeColor="text1"/>
          <w:sz w:val="24"/>
          <w14:textFill>
            <w14:solidFill>
              <w14:schemeClr w14:val="tx1"/>
            </w14:solidFill>
          </w14:textFill>
        </w:rPr>
        <w:t>污水接纳</w:t>
      </w:r>
      <w:r>
        <w:rPr>
          <w:rFonts w:eastAsiaTheme="minorEastAsia"/>
          <w:color w:val="000000" w:themeColor="text1"/>
          <w:sz w:val="24"/>
          <w14:textFill>
            <w14:solidFill>
              <w14:schemeClr w14:val="tx1"/>
            </w14:solidFill>
          </w14:textFill>
        </w:rPr>
        <w:t>说明</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附件4 </w:t>
      </w:r>
      <w:r>
        <w:rPr>
          <w:rFonts w:hint="eastAsia" w:eastAsiaTheme="minorEastAsia"/>
          <w:color w:val="000000" w:themeColor="text1"/>
          <w:sz w:val="24"/>
          <w14:textFill>
            <w14:solidFill>
              <w14:schemeClr w14:val="tx1"/>
            </w14:solidFill>
          </w14:textFill>
        </w:rPr>
        <w:t>项目所在园区污水排入排水管网许可证</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附件5 </w:t>
      </w:r>
      <w:r>
        <w:rPr>
          <w:rFonts w:hint="eastAsia" w:eastAsiaTheme="minorEastAsia"/>
          <w:color w:val="000000" w:themeColor="text1"/>
          <w:sz w:val="24"/>
          <w14:textFill>
            <w14:solidFill>
              <w14:schemeClr w14:val="tx1"/>
            </w14:solidFill>
          </w14:textFill>
        </w:rPr>
        <w:t>危险废物处置协议</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附件6 </w:t>
      </w:r>
      <w:r>
        <w:rPr>
          <w:rFonts w:hint="eastAsia" w:eastAsiaTheme="minorEastAsia"/>
          <w:color w:val="000000" w:themeColor="text1"/>
          <w:sz w:val="24"/>
          <w14:textFill>
            <w14:solidFill>
              <w14:schemeClr w14:val="tx1"/>
            </w14:solidFill>
          </w14:textFill>
        </w:rPr>
        <w:t>危险废物处置单位经营许可证</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附件7 </w:t>
      </w:r>
      <w:r>
        <w:rPr>
          <w:rFonts w:hint="eastAsia" w:eastAsiaTheme="minorEastAsia"/>
          <w:color w:val="000000" w:themeColor="text1"/>
          <w:sz w:val="24"/>
          <w14:textFill>
            <w14:solidFill>
              <w14:schemeClr w14:val="tx1"/>
            </w14:solidFill>
          </w14:textFill>
        </w:rPr>
        <w:t>项目污染物总量指标文件</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附件8 </w:t>
      </w:r>
      <w:r>
        <w:rPr>
          <w:rFonts w:hint="eastAsia" w:eastAsiaTheme="minorEastAsia"/>
          <w:color w:val="000000" w:themeColor="text1"/>
          <w:sz w:val="24"/>
          <w14:textFill>
            <w14:solidFill>
              <w14:schemeClr w14:val="tx1"/>
            </w14:solidFill>
          </w14:textFill>
        </w:rPr>
        <w:t>排污登记回执单</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附件9 </w:t>
      </w:r>
      <w:r>
        <w:rPr>
          <w:rFonts w:hint="eastAsia" w:eastAsiaTheme="minorEastAsia"/>
          <w:color w:val="000000" w:themeColor="text1"/>
          <w:sz w:val="24"/>
          <w14:textFill>
            <w14:solidFill>
              <w14:schemeClr w14:val="tx1"/>
            </w14:solidFill>
          </w14:textFill>
        </w:rPr>
        <w:t>项目危险废物应急处理预案</w:t>
      </w:r>
    </w:p>
    <w:p>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附件10 验收期间工况说明</w:t>
      </w:r>
    </w:p>
    <w:p>
      <w:pPr>
        <w:spacing w:line="360" w:lineRule="auto"/>
        <w:ind w:firstLine="480" w:firstLineChars="200"/>
        <w:rPr>
          <w:rFonts w:hint="eastAsia"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附件11 验收数据报告</w:t>
      </w:r>
    </w:p>
    <w:p>
      <w:pPr>
        <w:spacing w:line="360" w:lineRule="auto"/>
        <w:ind w:firstLine="480" w:firstLineChars="200"/>
        <w:rPr>
          <w:rFonts w:hint="eastAsia" w:eastAsiaTheme="minorEastAsia"/>
          <w:color w:val="000000" w:themeColor="text1"/>
          <w:sz w:val="24"/>
          <w:lang w:eastAsia="zh-CN"/>
          <w14:textFill>
            <w14:solidFill>
              <w14:schemeClr w14:val="tx1"/>
            </w14:solidFill>
          </w14:textFill>
        </w:rPr>
      </w:pPr>
      <w:r>
        <w:rPr>
          <w:rFonts w:hint="eastAsia" w:eastAsiaTheme="minorEastAsia"/>
          <w:color w:val="000000" w:themeColor="text1"/>
          <w:sz w:val="24"/>
          <w14:textFill>
            <w14:solidFill>
              <w14:schemeClr w14:val="tx1"/>
            </w14:solidFill>
          </w14:textFill>
        </w:rPr>
        <w:t>附件1</w:t>
      </w:r>
      <w:r>
        <w:rPr>
          <w:rFonts w:hint="eastAsia" w:eastAsiaTheme="minorEastAsia"/>
          <w:color w:val="000000" w:themeColor="text1"/>
          <w:sz w:val="24"/>
          <w:lang w:val="en-US" w:eastAsia="zh-CN"/>
          <w14:textFill>
            <w14:solidFill>
              <w14:schemeClr w14:val="tx1"/>
            </w14:solidFill>
          </w14:textFill>
        </w:rPr>
        <w:t>2</w:t>
      </w:r>
      <w:r>
        <w:rPr>
          <w:rFonts w:hint="eastAsia" w:eastAsiaTheme="minorEastAsia"/>
          <w:color w:val="000000" w:themeColor="text1"/>
          <w:sz w:val="24"/>
          <w14:textFill>
            <w14:solidFill>
              <w14:schemeClr w14:val="tx1"/>
            </w14:solidFill>
          </w14:textFill>
        </w:rPr>
        <w:t xml:space="preserve"> </w:t>
      </w:r>
      <w:r>
        <w:rPr>
          <w:rFonts w:hint="eastAsia" w:eastAsiaTheme="minorEastAsia"/>
          <w:color w:val="000000" w:themeColor="text1"/>
          <w:sz w:val="24"/>
          <w:lang w:eastAsia="zh-CN"/>
          <w14:textFill>
            <w14:solidFill>
              <w14:schemeClr w14:val="tx1"/>
            </w14:solidFill>
          </w14:textFill>
        </w:rPr>
        <w:t>危险废物转运联单</w:t>
      </w:r>
    </w:p>
    <w:p>
      <w:pPr>
        <w:spacing w:line="360" w:lineRule="auto"/>
        <w:ind w:firstLine="480" w:firstLineChars="200"/>
        <w:rPr>
          <w:rFonts w:hint="eastAsia" w:eastAsiaTheme="minorEastAsia"/>
          <w:color w:val="000000" w:themeColor="text1"/>
          <w:sz w:val="24"/>
          <w:lang w:eastAsia="zh-CN"/>
          <w14:textFill>
            <w14:solidFill>
              <w14:schemeClr w14:val="tx1"/>
            </w14:solidFill>
          </w14:textFill>
        </w:rPr>
      </w:pPr>
      <w:r>
        <w:rPr>
          <w:rFonts w:hint="eastAsia" w:eastAsiaTheme="minorEastAsia"/>
          <w:color w:val="000000" w:themeColor="text1"/>
          <w:sz w:val="24"/>
          <w14:textFill>
            <w14:solidFill>
              <w14:schemeClr w14:val="tx1"/>
            </w14:solidFill>
          </w14:textFill>
        </w:rPr>
        <w:t>附件1</w:t>
      </w:r>
      <w:r>
        <w:rPr>
          <w:rFonts w:hint="eastAsia" w:eastAsiaTheme="minorEastAsia"/>
          <w:color w:val="000000" w:themeColor="text1"/>
          <w:sz w:val="24"/>
          <w:lang w:val="en-US" w:eastAsia="zh-CN"/>
          <w14:textFill>
            <w14:solidFill>
              <w14:schemeClr w14:val="tx1"/>
            </w14:solidFill>
          </w14:textFill>
        </w:rPr>
        <w:t>3</w:t>
      </w:r>
      <w:r>
        <w:rPr>
          <w:rFonts w:hint="eastAsia" w:eastAsiaTheme="minorEastAsia"/>
          <w:color w:val="000000" w:themeColor="text1"/>
          <w:sz w:val="24"/>
          <w14:textFill>
            <w14:solidFill>
              <w14:schemeClr w14:val="tx1"/>
            </w14:solidFill>
          </w14:textFill>
        </w:rPr>
        <w:t xml:space="preserve"> </w:t>
      </w:r>
      <w:r>
        <w:rPr>
          <w:rFonts w:hint="eastAsia" w:eastAsiaTheme="minorEastAsia"/>
          <w:color w:val="000000" w:themeColor="text1"/>
          <w:sz w:val="24"/>
          <w:lang w:eastAsia="zh-CN"/>
          <w14:textFill>
            <w14:solidFill>
              <w14:schemeClr w14:val="tx1"/>
            </w14:solidFill>
          </w14:textFill>
        </w:rPr>
        <w:t>危险废弃物明细表</w:t>
      </w:r>
    </w:p>
    <w:p>
      <w:pPr>
        <w:spacing w:line="360" w:lineRule="auto"/>
        <w:ind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eastAsia="zh-CN"/>
          <w14:textFill>
            <w14:solidFill>
              <w14:schemeClr w14:val="tx1"/>
            </w14:solidFill>
          </w14:textFill>
        </w:rPr>
        <w:t>附件</w:t>
      </w:r>
      <w:r>
        <w:rPr>
          <w:rFonts w:hint="eastAsia" w:eastAsiaTheme="minorEastAsia"/>
          <w:color w:val="000000" w:themeColor="text1"/>
          <w:sz w:val="24"/>
          <w:lang w:val="en-US" w:eastAsia="zh-CN"/>
          <w14:textFill>
            <w14:solidFill>
              <w14:schemeClr w14:val="tx1"/>
            </w14:solidFill>
          </w14:textFill>
        </w:rPr>
        <w:t>14 高压灭菌锅使用台账</w:t>
      </w:r>
    </w:p>
    <w:p>
      <w:pPr>
        <w:spacing w:line="360" w:lineRule="auto"/>
        <w:ind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附件15 环保责任主体划分协议</w:t>
      </w:r>
    </w:p>
    <w:p>
      <w:pPr>
        <w:spacing w:line="360" w:lineRule="auto"/>
        <w:ind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附件16 实验室管理制度</w:t>
      </w:r>
    </w:p>
    <w:p>
      <w:pPr>
        <w:spacing w:line="360" w:lineRule="auto"/>
        <w:ind w:firstLine="480" w:firstLineChars="200"/>
        <w:rPr>
          <w:rFonts w:hint="eastAsia" w:eastAsiaTheme="minorEastAsia"/>
          <w:color w:val="000000" w:themeColor="text1"/>
          <w:sz w:val="24"/>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附件17 危废间管理制度</w:t>
      </w:r>
    </w:p>
    <w:p>
      <w:pPr>
        <w:spacing w:line="360" w:lineRule="auto"/>
        <w:ind w:firstLine="480" w:firstLineChars="200"/>
        <w:rPr>
          <w:rFonts w:hint="default"/>
          <w:color w:val="000000" w:themeColor="text1"/>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附件18 验收现场检查意见</w:t>
      </w:r>
    </w:p>
    <w:p>
      <w:pPr>
        <w:spacing w:line="360" w:lineRule="auto"/>
        <w:ind w:firstLine="480" w:firstLineChars="200"/>
        <w:rPr>
          <w:rFonts w:hint="default"/>
          <w:color w:val="000000" w:themeColor="text1"/>
          <w:lang w:val="en-US" w:eastAsia="zh-CN"/>
          <w14:textFill>
            <w14:solidFill>
              <w14:schemeClr w14:val="tx1"/>
            </w14:solidFill>
          </w14:textFill>
        </w:rPr>
      </w:pPr>
      <w:r>
        <w:rPr>
          <w:rFonts w:hint="eastAsia" w:eastAsiaTheme="minorEastAsia"/>
          <w:color w:val="000000" w:themeColor="text1"/>
          <w:sz w:val="24"/>
          <w:lang w:val="en-US" w:eastAsia="zh-CN"/>
          <w14:textFill>
            <w14:solidFill>
              <w14:schemeClr w14:val="tx1"/>
            </w14:solidFill>
          </w14:textFill>
        </w:rPr>
        <w:t>附件19 验收现场签到表</w:t>
      </w:r>
    </w:p>
    <w:p>
      <w:pPr>
        <w:pStyle w:val="2"/>
        <w:ind w:left="0" w:leftChars="0" w:firstLine="0" w:firstLineChars="0"/>
      </w:pPr>
    </w:p>
    <w:p>
      <w:pPr>
        <w:spacing w:line="360" w:lineRule="auto"/>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附图：</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附图1 项目地理位置示意图</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附图2 项目周边环境示意图</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 xml:space="preserve">附图3 </w:t>
      </w:r>
      <w:r>
        <w:rPr>
          <w:rFonts w:hint="eastAsia" w:eastAsiaTheme="minorEastAsia"/>
          <w:color w:val="000000" w:themeColor="text1"/>
          <w:sz w:val="24"/>
          <w14:textFill>
            <w14:solidFill>
              <w14:schemeClr w14:val="tx1"/>
            </w14:solidFill>
          </w14:textFill>
        </w:rPr>
        <w:t>项目监测点位示意图</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附图4</w:t>
      </w:r>
      <w:r>
        <w:rPr>
          <w:rFonts w:hint="eastAsia" w:eastAsiaTheme="minorEastAsia"/>
          <w:color w:val="000000" w:themeColor="text1"/>
          <w:sz w:val="24"/>
          <w14:textFill>
            <w14:solidFill>
              <w14:schemeClr w14:val="tx1"/>
            </w14:solidFill>
          </w14:textFill>
        </w:rPr>
        <w:t>-1 项目二层平面布置图</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附图</w:t>
      </w:r>
      <w:r>
        <w:rPr>
          <w:rFonts w:hint="eastAsia" w:eastAsiaTheme="minorEastAsia"/>
          <w:color w:val="000000" w:themeColor="text1"/>
          <w:sz w:val="24"/>
          <w14:textFill>
            <w14:solidFill>
              <w14:schemeClr w14:val="tx1"/>
            </w14:solidFill>
          </w14:textFill>
        </w:rPr>
        <w:t>4-2</w:t>
      </w:r>
      <w:r>
        <w:rPr>
          <w:rFonts w:eastAsiaTheme="minorEastAsia"/>
          <w:color w:val="000000" w:themeColor="text1"/>
          <w:sz w:val="24"/>
          <w14:textFill>
            <w14:solidFill>
              <w14:schemeClr w14:val="tx1"/>
            </w14:solidFill>
          </w14:textFill>
        </w:rPr>
        <w:t xml:space="preserve"> </w:t>
      </w:r>
      <w:r>
        <w:rPr>
          <w:rFonts w:hint="eastAsia" w:eastAsiaTheme="minorEastAsia"/>
          <w:color w:val="000000" w:themeColor="text1"/>
          <w:sz w:val="24"/>
          <w14:textFill>
            <w14:solidFill>
              <w14:schemeClr w14:val="tx1"/>
            </w14:solidFill>
          </w14:textFill>
        </w:rPr>
        <w:t>项目五层平面布置图</w:t>
      </w:r>
    </w:p>
    <w:p>
      <w:pPr>
        <w:spacing w:line="360" w:lineRule="auto"/>
        <w:ind w:firstLine="480" w:firstLineChars="200"/>
        <w:rPr>
          <w:rFonts w:eastAsia="黑体"/>
          <w:color w:val="000000" w:themeColor="text1"/>
          <w:sz w:val="30"/>
          <w:szCs w:val="30"/>
          <w14:textFill>
            <w14:solidFill>
              <w14:schemeClr w14:val="tx1"/>
            </w14:solidFill>
          </w14:textFill>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r>
        <w:rPr>
          <w:rFonts w:eastAsiaTheme="minorEastAsia"/>
          <w:color w:val="000000" w:themeColor="text1"/>
          <w:sz w:val="24"/>
          <w14:textFill>
            <w14:solidFill>
              <w14:schemeClr w14:val="tx1"/>
            </w14:solidFill>
          </w14:textFill>
        </w:rPr>
        <w:t>附图</w:t>
      </w:r>
      <w:r>
        <w:rPr>
          <w:rFonts w:hint="eastAsia" w:eastAsiaTheme="minorEastAsia"/>
          <w:color w:val="000000" w:themeColor="text1"/>
          <w:sz w:val="24"/>
          <w14:textFill>
            <w14:solidFill>
              <w14:schemeClr w14:val="tx1"/>
            </w14:solidFill>
          </w14:textFill>
        </w:rPr>
        <w:t>5</w:t>
      </w:r>
      <w:r>
        <w:rPr>
          <w:rFonts w:eastAsiaTheme="minorEastAsia"/>
          <w:color w:val="000000" w:themeColor="text1"/>
          <w:sz w:val="24"/>
          <w14:textFill>
            <w14:solidFill>
              <w14:schemeClr w14:val="tx1"/>
            </w14:solidFill>
          </w14:textFill>
        </w:rPr>
        <w:t xml:space="preserve"> </w:t>
      </w:r>
      <w:r>
        <w:rPr>
          <w:rFonts w:hint="eastAsia" w:eastAsiaTheme="minorEastAsia"/>
          <w:color w:val="000000" w:themeColor="text1"/>
          <w:sz w:val="24"/>
          <w14:textFill>
            <w14:solidFill>
              <w14:schemeClr w14:val="tx1"/>
            </w14:solidFill>
          </w14:textFill>
        </w:rPr>
        <w:t>排水路径示意图</w:t>
      </w:r>
      <w:r>
        <w:rPr>
          <w:rFonts w:hint="eastAsia" w:eastAsiaTheme="minorEastAsia"/>
          <w:color w:val="000000" w:themeColor="text1"/>
          <w:sz w:val="24"/>
          <w:lang w:val="en-US" w:eastAsia="zh-CN"/>
          <w14:textFill>
            <w14:solidFill>
              <w14:schemeClr w14:val="tx1"/>
            </w14:solidFill>
          </w14:textFill>
        </w:rPr>
        <w:t xml:space="preserve">                                                                                                                                                                                                                                                                                                                                                                                                                                                                                                                                                                                                                                                                                                                                                                                                                                                                                                                                                                                                                                                                                          </w:t>
      </w:r>
      <w:r>
        <w:rPr>
          <w:rFonts w:eastAsia="黑体"/>
          <w:color w:val="000000" w:themeColor="text1"/>
          <w:sz w:val="30"/>
          <w:szCs w:val="30"/>
          <w14:textFill>
            <w14:solidFill>
              <w14:schemeClr w14:val="tx1"/>
            </w14:solidFill>
          </w14:textFill>
        </w:rPr>
        <w:br w:type="page"/>
      </w:r>
    </w:p>
    <w:p>
      <w:pPr>
        <w:pStyle w:val="5"/>
        <w:rPr>
          <w:rFonts w:ascii="Times New Roman" w:hAnsi="Times New Roman"/>
          <w:color w:val="000000" w:themeColor="text1"/>
          <w14:textFill>
            <w14:solidFill>
              <w14:schemeClr w14:val="tx1"/>
            </w14:solidFill>
          </w14:textFill>
        </w:rPr>
      </w:pPr>
      <w:bookmarkStart w:id="0" w:name="_Toc525552346"/>
      <w:r>
        <w:rPr>
          <w:rFonts w:ascii="Times New Roman" w:hAnsi="Times New Roman"/>
          <w:color w:val="000000" w:themeColor="text1"/>
          <w14:textFill>
            <w14:solidFill>
              <w14:schemeClr w14:val="tx1"/>
            </w14:solidFill>
          </w14:textFill>
        </w:rPr>
        <w:t>表一  基本情况及验收监测依据</w:t>
      </w:r>
      <w:bookmarkEnd w:id="0"/>
    </w:p>
    <w:tbl>
      <w:tblPr>
        <w:tblStyle w:val="28"/>
        <w:tblW w:w="92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133"/>
        <w:gridCol w:w="2077"/>
        <w:gridCol w:w="1662"/>
        <w:gridCol w:w="1739"/>
        <w:gridCol w:w="695"/>
        <w:gridCol w:w="8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051" w:type="dxa"/>
            <w:gridSpan w:val="5"/>
            <w:tcBorders>
              <w:bottom w:val="single" w:color="auto" w:sz="4" w:space="0"/>
            </w:tcBorders>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新型无血清培养基研发项目二期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建设单位名称</w:t>
            </w:r>
          </w:p>
        </w:tc>
        <w:tc>
          <w:tcPr>
            <w:tcW w:w="7051" w:type="dxa"/>
            <w:gridSpan w:val="5"/>
            <w:tcBorders>
              <w:top w:val="single" w:color="auto" w:sz="4" w:space="0"/>
              <w:bottom w:val="single" w:color="auto" w:sz="4" w:space="0"/>
            </w:tcBorders>
            <w:vAlign w:val="center"/>
          </w:tcPr>
          <w:p>
            <w:pPr>
              <w:contextualSpacing/>
              <w:jc w:val="center"/>
              <w:rPr>
                <w:color w:val="000000" w:themeColor="text1"/>
                <w:sz w:val="24"/>
                <w14:textFill>
                  <w14:solidFill>
                    <w14:schemeClr w14:val="tx1"/>
                  </w14:solidFill>
                </w14:textFill>
              </w:rPr>
            </w:pPr>
            <w:r>
              <w:rPr>
                <w:sz w:val="24"/>
              </w:rPr>
              <w:t>武汉普诺赛生命科技有限公司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建设项目性质</w:t>
            </w:r>
          </w:p>
        </w:tc>
        <w:tc>
          <w:tcPr>
            <w:tcW w:w="7051" w:type="dxa"/>
            <w:gridSpan w:val="5"/>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新建√  改扩建  技改  迁建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051" w:type="dxa"/>
            <w:gridSpan w:val="5"/>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武汉市东湖高新技术开发区高新大道858号光谷生物城生物医药园中试区C4栋二层、五层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主要产品名称</w:t>
            </w:r>
          </w:p>
        </w:tc>
        <w:tc>
          <w:tcPr>
            <w:tcW w:w="7051" w:type="dxa"/>
            <w:gridSpan w:val="5"/>
            <w:vAlign w:val="center"/>
          </w:tcPr>
          <w:p>
            <w:pPr>
              <w:contextualSpacing/>
              <w:jc w:val="center"/>
              <w:rPr>
                <w:color w:val="000000" w:themeColor="text1"/>
                <w:sz w:val="24"/>
                <w14:textFill>
                  <w14:solidFill>
                    <w14:schemeClr w14:val="tx1"/>
                  </w14:solidFill>
                </w14:textFill>
              </w:rPr>
            </w:pPr>
            <w:r>
              <w:rPr>
                <w:sz w:val="24"/>
              </w:rPr>
              <w:t>研究和试验发展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设计生产能力</w:t>
            </w:r>
          </w:p>
        </w:tc>
        <w:tc>
          <w:tcPr>
            <w:tcW w:w="7051" w:type="dxa"/>
            <w:gridSpan w:val="5"/>
            <w:vAlign w:val="center"/>
          </w:tcPr>
          <w:p>
            <w:pPr>
              <w:pStyle w:val="11"/>
              <w:spacing w:before="5"/>
              <w:jc w:val="center"/>
            </w:pPr>
            <w:r>
              <w:rPr>
                <w:rFonts w:hint="eastAsia"/>
                <w:bCs/>
                <w:szCs w:val="24"/>
                <w:lang w:bidi="ar"/>
              </w:rPr>
              <w:t>新型无血清培养基研发，</w:t>
            </w:r>
            <w:r>
              <w:t>研发量约500次/年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szCs w:val="20"/>
                <w14:textFill>
                  <w14:solidFill>
                    <w14:schemeClr w14:val="tx1"/>
                  </w14:solidFill>
                </w14:textFill>
              </w:rPr>
            </w:pPr>
            <w:r>
              <w:rPr>
                <w:color w:val="000000" w:themeColor="text1"/>
                <w:sz w:val="24"/>
                <w:szCs w:val="20"/>
                <w14:textFill>
                  <w14:solidFill>
                    <w14:schemeClr w14:val="tx1"/>
                  </w14:solidFill>
                </w14:textFill>
              </w:rPr>
              <w:t>实际生产能力</w:t>
            </w:r>
          </w:p>
        </w:tc>
        <w:tc>
          <w:tcPr>
            <w:tcW w:w="7051" w:type="dxa"/>
            <w:gridSpan w:val="5"/>
            <w:vAlign w:val="center"/>
          </w:tcPr>
          <w:p>
            <w:pPr>
              <w:contextualSpacing/>
              <w:jc w:val="center"/>
              <w:rPr>
                <w:color w:val="000000" w:themeColor="text1"/>
                <w:sz w:val="24"/>
                <w:szCs w:val="20"/>
                <w14:textFill>
                  <w14:solidFill>
                    <w14:schemeClr w14:val="tx1"/>
                  </w14:solidFill>
                </w14:textFill>
              </w:rPr>
            </w:pPr>
            <w:r>
              <w:rPr>
                <w:rFonts w:hint="eastAsia"/>
                <w:bCs/>
                <w:sz w:val="24"/>
                <w:lang w:bidi="ar"/>
              </w:rPr>
              <w:t>新型无血清培养基研发，</w:t>
            </w:r>
            <w:r>
              <w:rPr>
                <w:color w:val="000000" w:themeColor="text1"/>
                <w:sz w:val="24"/>
                <w:szCs w:val="20"/>
                <w14:textFill>
                  <w14:solidFill>
                    <w14:schemeClr w14:val="tx1"/>
                  </w14:solidFill>
                </w14:textFill>
              </w:rPr>
              <w:t>研发量约500次/年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建设项目环评时间</w:t>
            </w:r>
          </w:p>
        </w:tc>
        <w:tc>
          <w:tcPr>
            <w:tcW w:w="2077"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年</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月</w:t>
            </w:r>
          </w:p>
        </w:tc>
        <w:tc>
          <w:tcPr>
            <w:tcW w:w="1662" w:type="dxa"/>
            <w:vAlign w:val="center"/>
          </w:tcPr>
          <w:p>
            <w:pPr>
              <w:contextualSpacing/>
              <w:jc w:val="center"/>
              <w:rPr>
                <w:sz w:val="24"/>
              </w:rPr>
            </w:pPr>
            <w:r>
              <w:rPr>
                <w:sz w:val="24"/>
              </w:rPr>
              <w:t>开工建设时间</w:t>
            </w:r>
          </w:p>
        </w:tc>
        <w:tc>
          <w:tcPr>
            <w:tcW w:w="3312" w:type="dxa"/>
            <w:gridSpan w:val="3"/>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2021年2月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调试时间</w:t>
            </w:r>
          </w:p>
        </w:tc>
        <w:tc>
          <w:tcPr>
            <w:tcW w:w="2077" w:type="dxa"/>
            <w:vAlign w:val="center"/>
          </w:tcPr>
          <w:p>
            <w:pPr>
              <w:contextualSpacing/>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2021年7月</w:t>
            </w:r>
          </w:p>
        </w:tc>
        <w:tc>
          <w:tcPr>
            <w:tcW w:w="1662"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验收现场监测时间</w:t>
            </w:r>
          </w:p>
        </w:tc>
        <w:tc>
          <w:tcPr>
            <w:tcW w:w="3312" w:type="dxa"/>
            <w:gridSpan w:val="3"/>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2022年3月9、10日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环评报告表</w:t>
            </w:r>
          </w:p>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审批部门</w:t>
            </w:r>
          </w:p>
        </w:tc>
        <w:tc>
          <w:tcPr>
            <w:tcW w:w="2077"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武汉东湖新技术开发区生态环境和水务湖泊局</w:t>
            </w:r>
          </w:p>
        </w:tc>
        <w:tc>
          <w:tcPr>
            <w:tcW w:w="1662" w:type="dxa"/>
            <w:vAlign w:val="center"/>
          </w:tcPr>
          <w:p>
            <w:pPr>
              <w:widowControl/>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环评报告表</w:t>
            </w:r>
          </w:p>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编制单位</w:t>
            </w:r>
          </w:p>
        </w:tc>
        <w:tc>
          <w:tcPr>
            <w:tcW w:w="3312" w:type="dxa"/>
            <w:gridSpan w:val="3"/>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武汉智汇元环保科技有限公司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环保设施</w:t>
            </w:r>
          </w:p>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设计单位</w:t>
            </w:r>
          </w:p>
        </w:tc>
        <w:tc>
          <w:tcPr>
            <w:tcW w:w="2077" w:type="dxa"/>
            <w:vAlign w:val="center"/>
          </w:tcPr>
          <w:p>
            <w:pPr>
              <w:widowControl/>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武汉优尚实验科技有限公司</w:t>
            </w:r>
          </w:p>
        </w:tc>
        <w:tc>
          <w:tcPr>
            <w:tcW w:w="1662" w:type="dxa"/>
            <w:vAlign w:val="center"/>
          </w:tcPr>
          <w:p>
            <w:pPr>
              <w:widowControl/>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环保设施</w:t>
            </w:r>
          </w:p>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施工单位</w:t>
            </w:r>
          </w:p>
        </w:tc>
        <w:tc>
          <w:tcPr>
            <w:tcW w:w="3312" w:type="dxa"/>
            <w:gridSpan w:val="3"/>
            <w:vAlign w:val="center"/>
          </w:tcPr>
          <w:p>
            <w:pPr>
              <w:widowControl/>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武汉优尚实验科技有限公司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投资总概算</w:t>
            </w:r>
          </w:p>
        </w:tc>
        <w:tc>
          <w:tcPr>
            <w:tcW w:w="2077"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300万</w:t>
            </w:r>
          </w:p>
        </w:tc>
        <w:tc>
          <w:tcPr>
            <w:tcW w:w="1662"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环保投资总概算</w:t>
            </w:r>
          </w:p>
        </w:tc>
        <w:tc>
          <w:tcPr>
            <w:tcW w:w="1739"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14万</w:t>
            </w:r>
          </w:p>
        </w:tc>
        <w:tc>
          <w:tcPr>
            <w:tcW w:w="695"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878"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2235" w:type="dxa"/>
            <w:gridSpan w:val="2"/>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实际总概算</w:t>
            </w:r>
          </w:p>
        </w:tc>
        <w:tc>
          <w:tcPr>
            <w:tcW w:w="2077"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300万</w:t>
            </w:r>
          </w:p>
        </w:tc>
        <w:tc>
          <w:tcPr>
            <w:tcW w:w="1662"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实际环保投资</w:t>
            </w:r>
          </w:p>
        </w:tc>
        <w:tc>
          <w:tcPr>
            <w:tcW w:w="1739" w:type="dxa"/>
            <w:vAlign w:val="center"/>
          </w:tcPr>
          <w:p>
            <w:pPr>
              <w:contextualSpacing/>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万</w:t>
            </w:r>
          </w:p>
        </w:tc>
        <w:tc>
          <w:tcPr>
            <w:tcW w:w="695"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比例</w:t>
            </w:r>
          </w:p>
        </w:tc>
        <w:tc>
          <w:tcPr>
            <w:tcW w:w="878" w:type="dxa"/>
            <w:vAlign w:val="center"/>
          </w:tcPr>
          <w:p>
            <w:pPr>
              <w:contextualSpacing/>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29" w:hRule="atLeast"/>
          <w:jc w:val="center"/>
        </w:trPr>
        <w:tc>
          <w:tcPr>
            <w:tcW w:w="1102" w:type="dxa"/>
            <w:vAlign w:val="center"/>
          </w:tcPr>
          <w:p>
            <w:pPr>
              <w:contextualSpacing/>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验收监测依据</w:t>
            </w:r>
          </w:p>
        </w:tc>
        <w:tc>
          <w:tcPr>
            <w:tcW w:w="8184" w:type="dxa"/>
            <w:gridSpan w:val="6"/>
          </w:tcPr>
          <w:p>
            <w:pPr>
              <w:widowControl/>
              <w:numPr>
                <w:ilvl w:val="0"/>
                <w:numId w:val="2"/>
              </w:numPr>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《中华人民共和国环境保护法》，</w:t>
            </w:r>
            <w:r>
              <w:rPr>
                <w:color w:val="000000" w:themeColor="text1"/>
                <w:sz w:val="24"/>
                <w14:textFill>
                  <w14:solidFill>
                    <w14:schemeClr w14:val="tx1"/>
                  </w14:solidFill>
                </w14:textFill>
              </w:rPr>
              <w:t>2015年1月1日实施</w:t>
            </w:r>
            <w:r>
              <w:rPr>
                <w:color w:val="000000" w:themeColor="text1"/>
                <w:kern w:val="0"/>
                <w:sz w:val="24"/>
                <w14:textFill>
                  <w14:solidFill>
                    <w14:schemeClr w14:val="tx1"/>
                  </w14:solidFill>
                </w14:textFill>
              </w:rPr>
              <w:t>；</w:t>
            </w:r>
          </w:p>
          <w:p>
            <w:pPr>
              <w:pStyle w:val="99"/>
              <w:numPr>
                <w:ilvl w:val="0"/>
                <w:numId w:val="2"/>
              </w:numPr>
              <w:spacing w:line="360" w:lineRule="auto"/>
              <w:ind w:firstLineChars="0"/>
              <w:rPr>
                <w:color w:val="000000" w:themeColor="text1"/>
                <w14:textFill>
                  <w14:solidFill>
                    <w14:schemeClr w14:val="tx1"/>
                  </w14:solidFill>
                </w14:textFill>
              </w:rPr>
            </w:pPr>
            <w:r>
              <w:rPr>
                <w:color w:val="000000" w:themeColor="text1"/>
                <w14:textFill>
                  <w14:solidFill>
                    <w14:schemeClr w14:val="tx1"/>
                  </w14:solidFill>
                </w14:textFill>
              </w:rPr>
              <w:t>《国务院关于修改〈建设项目环境保护管理条例〉的决定》（国务院第682号令），2017年10月1日起施行；</w:t>
            </w:r>
          </w:p>
          <w:p>
            <w:pPr>
              <w:widowControl/>
              <w:numPr>
                <w:ilvl w:val="0"/>
                <w:numId w:val="2"/>
              </w:numPr>
              <w:spacing w:line="360" w:lineRule="auto"/>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《建设项目竣工环境保护验收暂行办法》（国环规环评[2017]4号文），2017年11月20日发布施行；</w:t>
            </w:r>
          </w:p>
          <w:p>
            <w:pPr>
              <w:widowControl/>
              <w:numPr>
                <w:ilvl w:val="0"/>
                <w:numId w:val="2"/>
              </w:numPr>
              <w:spacing w:line="360" w:lineRule="auto"/>
            </w:pPr>
            <w:r>
              <w:rPr>
                <w:color w:val="000000" w:themeColor="text1"/>
                <w:kern w:val="0"/>
                <w:sz w:val="24"/>
                <w14:textFill>
                  <w14:solidFill>
                    <w14:schemeClr w14:val="tx1"/>
                  </w14:solidFill>
                </w14:textFill>
              </w:rPr>
              <w:t>《建设项目竣工环境保护验收技术指南污染影响类》（生态环境部公告2018年第9号），2018年5月16日印发。</w:t>
            </w:r>
          </w:p>
          <w:p>
            <w:pPr>
              <w:pStyle w:val="99"/>
              <w:numPr>
                <w:ilvl w:val="0"/>
                <w:numId w:val="2"/>
              </w:numPr>
              <w:tabs>
                <w:tab w:val="left" w:pos="907"/>
              </w:tabs>
              <w:spacing w:line="360" w:lineRule="auto"/>
              <w:ind w:firstLineChars="0"/>
              <w:rPr>
                <w:color w:val="000000" w:themeColor="text1"/>
                <w:kern w:val="0"/>
                <w:sz w:val="24"/>
                <w14:textFill>
                  <w14:solidFill>
                    <w14:schemeClr w14:val="tx1"/>
                  </w14:solidFill>
                </w14:textFill>
              </w:rPr>
            </w:pPr>
            <w:r>
              <w:rPr>
                <w:rFonts w:hint="eastAsia"/>
              </w:rPr>
              <w:t>《关于印发&lt;污染影响类建设项目重大变动清单（试行）&gt;的通知》（环办环评函[2020]688号）</w:t>
            </w:r>
          </w:p>
          <w:p>
            <w:pPr>
              <w:widowControl/>
              <w:numPr>
                <w:ilvl w:val="0"/>
                <w:numId w:val="2"/>
              </w:numPr>
              <w:spacing w:line="360" w:lineRule="auto"/>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武汉智汇元环保科技有限公司编制完成的《新型无血清培养基研发项目二期环境影响报告表》，2020年12月；</w:t>
            </w:r>
          </w:p>
          <w:p>
            <w:pPr>
              <w:pStyle w:val="99"/>
              <w:numPr>
                <w:ilvl w:val="0"/>
                <w:numId w:val="2"/>
              </w:numPr>
              <w:tabs>
                <w:tab w:val="left" w:pos="907"/>
              </w:tabs>
              <w:spacing w:line="360" w:lineRule="auto"/>
              <w:ind w:firstLineChars="0"/>
              <w:rPr>
                <w:color w:val="000000" w:themeColor="text1"/>
                <w14:textFill>
                  <w14:solidFill>
                    <w14:schemeClr w14:val="tx1"/>
                  </w14:solidFill>
                </w14:textFill>
              </w:rPr>
            </w:pPr>
            <w:r>
              <w:t>武汉普诺赛生命科技有限公司</w:t>
            </w:r>
            <w:r>
              <w:rPr>
                <w:color w:val="000000" w:themeColor="text1"/>
                <w14:textFill>
                  <w14:solidFill>
                    <w14:schemeClr w14:val="tx1"/>
                  </w14:solidFill>
                </w14:textFill>
              </w:rPr>
              <w:t>关于新型无血清培养基研发项目二期竣工环境保护验收工作委托书（见</w:t>
            </w:r>
            <w:r>
              <w:t>附件1</w:t>
            </w:r>
            <w:r>
              <w:rPr>
                <w:color w:val="000000" w:themeColor="text1"/>
                <w14:textFill>
                  <w14:solidFill>
                    <w14:schemeClr w14:val="tx1"/>
                  </w14:solidFill>
                </w14:textFill>
              </w:rPr>
              <w:t>）</w:t>
            </w:r>
          </w:p>
          <w:p>
            <w:pPr>
              <w:pStyle w:val="99"/>
              <w:numPr>
                <w:ilvl w:val="0"/>
                <w:numId w:val="2"/>
              </w:numPr>
              <w:tabs>
                <w:tab w:val="left" w:pos="907"/>
              </w:tabs>
              <w:spacing w:line="360" w:lineRule="auto"/>
              <w:ind w:firstLineChars="0"/>
            </w:pPr>
            <w:r>
              <w:rPr>
                <w:color w:val="000000" w:themeColor="text1"/>
                <w14:textFill>
                  <w14:solidFill>
                    <w14:schemeClr w14:val="tx1"/>
                  </w14:solidFill>
                </w14:textFill>
              </w:rPr>
              <w:t>武汉东湖新技术开发区生态环境和水务湖泊局</w:t>
            </w:r>
            <w:r>
              <w:t>《关于武汉普诺赛生命科技有限公司新型无血清培养基研发项目二期环境影响报告表的批复》（武新环告[2021]7号，2021年1月20日，见附件2）；</w:t>
            </w:r>
          </w:p>
          <w:p>
            <w:pPr>
              <w:numPr>
                <w:ilvl w:val="0"/>
                <w:numId w:val="2"/>
              </w:numPr>
              <w:spacing w:line="360" w:lineRule="auto"/>
              <w:contextualSpacing/>
              <w:rPr>
                <w:color w:val="000000" w:themeColor="text1"/>
                <w:sz w:val="24"/>
                <w14:textFill>
                  <w14:solidFill>
                    <w14:schemeClr w14:val="tx1"/>
                  </w14:solidFill>
                </w14:textFill>
              </w:rPr>
            </w:pPr>
            <w:r>
              <w:rPr>
                <w:sz w:val="24"/>
              </w:rPr>
              <w:t>武汉普诺赛生命科技有限公司</w:t>
            </w:r>
            <w:r>
              <w:rPr>
                <w:color w:val="000000" w:themeColor="text1"/>
                <w:kern w:val="0"/>
                <w:sz w:val="24"/>
                <w14:textFill>
                  <w14:solidFill>
                    <w14:schemeClr w14:val="tx1"/>
                  </w14:solidFill>
                </w14:textFill>
              </w:rPr>
              <w:t>提供的其它相关资料等</w:t>
            </w:r>
            <w:r>
              <w:rPr>
                <w:color w:val="000000" w:themeColor="text1"/>
                <w:sz w:val="24"/>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97" w:hRule="atLeast"/>
          <w:jc w:val="center"/>
        </w:trPr>
        <w:tc>
          <w:tcPr>
            <w:tcW w:w="1102" w:type="dxa"/>
            <w:vAlign w:val="center"/>
          </w:tcPr>
          <w:p>
            <w:pPr>
              <w:contextualSpacing/>
              <w:rPr>
                <w:color w:val="000000" w:themeColor="text1"/>
                <w:sz w:val="24"/>
                <w14:textFill>
                  <w14:solidFill>
                    <w14:schemeClr w14:val="tx1"/>
                  </w14:solidFill>
                </w14:textFill>
              </w:rPr>
            </w:pPr>
            <w:r>
              <w:rPr>
                <w:color w:val="000000" w:themeColor="text1"/>
                <w:sz w:val="24"/>
                <w14:textFill>
                  <w14:solidFill>
                    <w14:schemeClr w14:val="tx1"/>
                  </w14:solidFill>
                </w14:textFill>
              </w:rPr>
              <w:t>验收监测评价标准、标号、级别、限值</w:t>
            </w:r>
          </w:p>
        </w:tc>
        <w:tc>
          <w:tcPr>
            <w:tcW w:w="8184" w:type="dxa"/>
            <w:gridSpan w:val="6"/>
          </w:tcPr>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1.环境质量标准</w:t>
            </w:r>
          </w:p>
          <w:p>
            <w:pPr>
              <w:numPr>
                <w:ilvl w:val="0"/>
                <w:numId w:val="3"/>
              </w:num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环境空气：根据武汉市人民政府办公厅文件《市人民政府办公厅关于转发武汉市环境空气质量功能区类别规定的通知》（武政办[2013]129号），</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属于二类环境空气质量功能区。执行《环境空气质量标准》(GB 3095-2012)的二级标准。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（2）地表水：</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所在区域污水受纳水体为长江（武汉段）。根据湖北省人民政府办公厅文件《省人民政府办公厅关于武汉市地表水环境功能区类别和集中式地表水饮用水水源保护区级别规定有关问题的批复》（鄂政办函[2000]74号）的有关规定，长江（武汉段）属Ⅲ类水体，其水质标准属于III类水质标准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（3）声环境：</w:t>
            </w:r>
            <w:r>
              <w:rPr>
                <w:kern w:val="0"/>
                <w:sz w:val="24"/>
              </w:rPr>
              <w:t>根据武汉市人民政府办公厅文件《市人民政府办公厅关于印发武汉市声环境质量功能区类别规定的通知》（武政办[2019]12号），项目所在地声环境功能区划为3类区，项目场址的声环境质量应满足《声环境质量标准》（GB3096-2008）中“3类标准”</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2.污染物排放标准</w:t>
            </w:r>
          </w:p>
          <w:p>
            <w:pPr>
              <w:spacing w:line="360" w:lineRule="auto"/>
              <w:ind w:right="178" w:rightChars="85" w:firstLine="480" w:firstLineChars="200"/>
              <w:rPr>
                <w:color w:val="000000" w:themeColor="text1"/>
                <w:kern w:val="0"/>
                <w:sz w:val="24"/>
                <w:szCs w:val="20"/>
                <w14:textFill>
                  <w14:solidFill>
                    <w14:schemeClr w14:val="tx1"/>
                  </w14:solidFill>
                </w14:textFill>
              </w:rPr>
            </w:pPr>
            <w:r>
              <w:rPr>
                <w:rFonts w:hint="eastAsia"/>
                <w:color w:val="000000" w:themeColor="text1"/>
                <w:kern w:val="0"/>
                <w:sz w:val="24"/>
                <w:szCs w:val="20"/>
                <w14:textFill>
                  <w14:solidFill>
                    <w14:schemeClr w14:val="tx1"/>
                  </w14:solidFill>
                </w14:textFill>
              </w:rPr>
              <w:t>项目</w:t>
            </w:r>
            <w:r>
              <w:rPr>
                <w:color w:val="000000" w:themeColor="text1"/>
                <w:kern w:val="0"/>
                <w:sz w:val="24"/>
                <w:szCs w:val="20"/>
                <w14:textFill>
                  <w14:solidFill>
                    <w14:schemeClr w14:val="tx1"/>
                  </w14:solidFill>
                </w14:textFill>
              </w:rPr>
              <w:t>污染物评价标准见表1-1，来源于环评报告及环评批复。</w:t>
            </w:r>
          </w:p>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表1-1 项目污染物执行评价标准</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
              <w:gridCol w:w="2888"/>
              <w:gridCol w:w="884"/>
              <w:gridCol w:w="1004"/>
              <w:gridCol w:w="1890"/>
              <w:gridCol w:w="8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9" w:type="pct"/>
                  <w:tcBorders>
                    <w:top w:val="single" w:color="auto" w:sz="12" w:space="0"/>
                    <w:bottom w:val="single" w:color="auto" w:sz="12" w:space="0"/>
                  </w:tcBorders>
                  <w:vAlign w:val="center"/>
                </w:tcPr>
                <w:p>
                  <w:pPr>
                    <w:spacing w:line="240" w:lineRule="exact"/>
                    <w:jc w:val="center"/>
                    <w:rPr>
                      <w:b/>
                      <w:bCs/>
                      <w:kern w:val="0"/>
                      <w:sz w:val="18"/>
                      <w:szCs w:val="18"/>
                    </w:rPr>
                  </w:pPr>
                  <w:r>
                    <w:rPr>
                      <w:b/>
                      <w:bCs/>
                      <w:kern w:val="0"/>
                      <w:sz w:val="18"/>
                      <w:szCs w:val="18"/>
                    </w:rPr>
                    <w:t>类别</w:t>
                  </w:r>
                </w:p>
              </w:tc>
              <w:tc>
                <w:tcPr>
                  <w:tcW w:w="2367" w:type="pct"/>
                  <w:gridSpan w:val="2"/>
                  <w:tcBorders>
                    <w:top w:val="single" w:color="auto" w:sz="12" w:space="0"/>
                    <w:bottom w:val="single" w:color="auto" w:sz="12" w:space="0"/>
                  </w:tcBorders>
                  <w:shd w:val="clear" w:color="auto" w:fill="auto"/>
                  <w:vAlign w:val="center"/>
                </w:tcPr>
                <w:p>
                  <w:pPr>
                    <w:spacing w:line="240" w:lineRule="exact"/>
                    <w:jc w:val="center"/>
                    <w:rPr>
                      <w:b/>
                      <w:bCs/>
                      <w:kern w:val="0"/>
                      <w:sz w:val="18"/>
                      <w:szCs w:val="18"/>
                    </w:rPr>
                  </w:pPr>
                  <w:r>
                    <w:rPr>
                      <w:b/>
                      <w:bCs/>
                      <w:kern w:val="0"/>
                      <w:sz w:val="18"/>
                      <w:szCs w:val="18"/>
                    </w:rPr>
                    <w:t>适用标准</w:t>
                  </w:r>
                </w:p>
              </w:tc>
              <w:tc>
                <w:tcPr>
                  <w:tcW w:w="1816" w:type="pct"/>
                  <w:gridSpan w:val="2"/>
                  <w:tcBorders>
                    <w:top w:val="single" w:color="auto" w:sz="12" w:space="0"/>
                    <w:bottom w:val="single" w:color="auto" w:sz="12" w:space="0"/>
                  </w:tcBorders>
                  <w:shd w:val="clear" w:color="auto" w:fill="auto"/>
                  <w:vAlign w:val="center"/>
                </w:tcPr>
                <w:p>
                  <w:pPr>
                    <w:spacing w:line="240" w:lineRule="exact"/>
                    <w:jc w:val="center"/>
                    <w:rPr>
                      <w:b/>
                      <w:bCs/>
                      <w:kern w:val="0"/>
                      <w:sz w:val="18"/>
                      <w:szCs w:val="18"/>
                    </w:rPr>
                  </w:pPr>
                  <w:r>
                    <w:rPr>
                      <w:b/>
                      <w:bCs/>
                      <w:kern w:val="0"/>
                      <w:sz w:val="18"/>
                      <w:szCs w:val="18"/>
                    </w:rPr>
                    <w:t>标准限值</w:t>
                  </w:r>
                </w:p>
              </w:tc>
              <w:tc>
                <w:tcPr>
                  <w:tcW w:w="538" w:type="pct"/>
                  <w:tcBorders>
                    <w:top w:val="single" w:color="auto" w:sz="12" w:space="0"/>
                    <w:bottom w:val="single" w:color="auto" w:sz="12" w:space="0"/>
                  </w:tcBorders>
                  <w:shd w:val="clear" w:color="auto" w:fill="auto"/>
                  <w:vAlign w:val="center"/>
                </w:tcPr>
                <w:p>
                  <w:pPr>
                    <w:spacing w:line="240" w:lineRule="exact"/>
                    <w:jc w:val="center"/>
                    <w:rPr>
                      <w:b/>
                      <w:bCs/>
                      <w:kern w:val="0"/>
                      <w:sz w:val="18"/>
                      <w:szCs w:val="18"/>
                    </w:rPr>
                  </w:pPr>
                  <w:r>
                    <w:rPr>
                      <w:b/>
                      <w:bCs/>
                      <w:kern w:val="0"/>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restart"/>
                  <w:vAlign w:val="center"/>
                </w:tcPr>
                <w:p>
                  <w:pPr>
                    <w:spacing w:line="240" w:lineRule="exact"/>
                    <w:jc w:val="center"/>
                    <w:rPr>
                      <w:sz w:val="18"/>
                      <w:szCs w:val="18"/>
                    </w:rPr>
                  </w:pPr>
                  <w:r>
                    <w:rPr>
                      <w:sz w:val="18"/>
                      <w:szCs w:val="18"/>
                    </w:rPr>
                    <w:t>废水</w:t>
                  </w:r>
                </w:p>
              </w:tc>
              <w:tc>
                <w:tcPr>
                  <w:tcW w:w="2367" w:type="pct"/>
                  <w:gridSpan w:val="2"/>
                  <w:vMerge w:val="restart"/>
                  <w:shd w:val="clear" w:color="auto" w:fill="auto"/>
                  <w:vAlign w:val="center"/>
                </w:tcPr>
                <w:p>
                  <w:pPr>
                    <w:spacing w:line="240" w:lineRule="exact"/>
                    <w:jc w:val="center"/>
                    <w:rPr>
                      <w:kern w:val="0"/>
                      <w:sz w:val="18"/>
                      <w:szCs w:val="18"/>
                    </w:rPr>
                  </w:pPr>
                  <w:r>
                    <w:rPr>
                      <w:sz w:val="18"/>
                    </w:rPr>
                    <w:t>豹澥污水处理厂进水水质标准</w:t>
                  </w:r>
                </w:p>
              </w:tc>
              <w:tc>
                <w:tcPr>
                  <w:tcW w:w="630" w:type="pct"/>
                  <w:shd w:val="clear" w:color="auto" w:fill="auto"/>
                  <w:vAlign w:val="center"/>
                </w:tcPr>
                <w:p>
                  <w:pPr>
                    <w:spacing w:line="240" w:lineRule="exact"/>
                    <w:jc w:val="center"/>
                    <w:rPr>
                      <w:kern w:val="0"/>
                      <w:sz w:val="18"/>
                      <w:szCs w:val="18"/>
                    </w:rPr>
                  </w:pPr>
                  <w:r>
                    <w:rPr>
                      <w:kern w:val="0"/>
                      <w:sz w:val="18"/>
                      <w:szCs w:val="18"/>
                    </w:rPr>
                    <w:t>pH</w:t>
                  </w:r>
                </w:p>
              </w:tc>
              <w:tc>
                <w:tcPr>
                  <w:tcW w:w="1186" w:type="pct"/>
                  <w:shd w:val="clear" w:color="auto" w:fill="auto"/>
                  <w:vAlign w:val="center"/>
                </w:tcPr>
                <w:p>
                  <w:pPr>
                    <w:spacing w:line="240" w:lineRule="exact"/>
                    <w:jc w:val="center"/>
                    <w:rPr>
                      <w:sz w:val="18"/>
                      <w:szCs w:val="18"/>
                    </w:rPr>
                  </w:pPr>
                  <w:r>
                    <w:rPr>
                      <w:sz w:val="18"/>
                      <w:szCs w:val="18"/>
                    </w:rPr>
                    <w:t>6~9</w:t>
                  </w:r>
                </w:p>
              </w:tc>
              <w:tc>
                <w:tcPr>
                  <w:tcW w:w="538" w:type="pct"/>
                  <w:vMerge w:val="restart"/>
                  <w:shd w:val="clear" w:color="auto" w:fill="auto"/>
                  <w:vAlign w:val="center"/>
                </w:tcPr>
                <w:p>
                  <w:pPr>
                    <w:spacing w:line="240" w:lineRule="exact"/>
                    <w:jc w:val="center"/>
                    <w:rPr>
                      <w:sz w:val="18"/>
                      <w:szCs w:val="18"/>
                    </w:rPr>
                  </w:pPr>
                  <w:r>
                    <w:rPr>
                      <w:sz w:val="18"/>
                      <w:szCs w:val="18"/>
                    </w:rPr>
                    <w:t>园区污水总排口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sz w:val="18"/>
                      <w:szCs w:val="18"/>
                    </w:rPr>
                  </w:pPr>
                </w:p>
              </w:tc>
              <w:tc>
                <w:tcPr>
                  <w:tcW w:w="2367" w:type="pct"/>
                  <w:gridSpan w:val="2"/>
                  <w:vMerge w:val="continue"/>
                  <w:shd w:val="clear" w:color="auto" w:fill="auto"/>
                  <w:vAlign w:val="center"/>
                </w:tcPr>
                <w:p>
                  <w:pPr>
                    <w:spacing w:line="240" w:lineRule="exact"/>
                    <w:jc w:val="center"/>
                    <w:rPr>
                      <w:sz w:val="18"/>
                    </w:rPr>
                  </w:pPr>
                </w:p>
              </w:tc>
              <w:tc>
                <w:tcPr>
                  <w:tcW w:w="630" w:type="pct"/>
                  <w:shd w:val="clear" w:color="auto" w:fill="auto"/>
                  <w:vAlign w:val="center"/>
                </w:tcPr>
                <w:p>
                  <w:pPr>
                    <w:spacing w:line="240" w:lineRule="exact"/>
                    <w:jc w:val="center"/>
                    <w:rPr>
                      <w:kern w:val="0"/>
                      <w:sz w:val="18"/>
                      <w:szCs w:val="18"/>
                    </w:rPr>
                  </w:pPr>
                  <w:r>
                    <w:rPr>
                      <w:kern w:val="0"/>
                      <w:sz w:val="18"/>
                      <w:szCs w:val="18"/>
                    </w:rPr>
                    <w:t>COD</w:t>
                  </w:r>
                </w:p>
              </w:tc>
              <w:tc>
                <w:tcPr>
                  <w:tcW w:w="1186" w:type="pct"/>
                  <w:shd w:val="clear" w:color="auto" w:fill="auto"/>
                  <w:vAlign w:val="center"/>
                </w:tcPr>
                <w:p>
                  <w:pPr>
                    <w:spacing w:line="240" w:lineRule="exact"/>
                    <w:jc w:val="center"/>
                    <w:rPr>
                      <w:sz w:val="18"/>
                      <w:szCs w:val="18"/>
                    </w:rPr>
                  </w:pPr>
                  <w:r>
                    <w:rPr>
                      <w:sz w:val="18"/>
                      <w:szCs w:val="18"/>
                    </w:rPr>
                    <w:t>320 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spacing w:line="240" w:lineRule="exact"/>
                    <w:jc w:val="center"/>
                    <w:rPr>
                      <w:kern w:val="0"/>
                      <w:sz w:val="18"/>
                      <w:szCs w:val="18"/>
                    </w:rPr>
                  </w:pPr>
                  <w:r>
                    <w:rPr>
                      <w:kern w:val="0"/>
                      <w:sz w:val="18"/>
                      <w:szCs w:val="18"/>
                    </w:rPr>
                    <w:t>BOD</w:t>
                  </w:r>
                  <w:r>
                    <w:rPr>
                      <w:kern w:val="0"/>
                      <w:sz w:val="18"/>
                      <w:szCs w:val="18"/>
                      <w:vertAlign w:val="subscript"/>
                    </w:rPr>
                    <w:t>5</w:t>
                  </w:r>
                </w:p>
              </w:tc>
              <w:tc>
                <w:tcPr>
                  <w:tcW w:w="1186" w:type="pct"/>
                  <w:shd w:val="clear" w:color="auto" w:fill="auto"/>
                  <w:vAlign w:val="center"/>
                </w:tcPr>
                <w:p>
                  <w:pPr>
                    <w:spacing w:line="240" w:lineRule="exact"/>
                    <w:jc w:val="center"/>
                    <w:rPr>
                      <w:sz w:val="18"/>
                      <w:szCs w:val="18"/>
                    </w:rPr>
                  </w:pPr>
                  <w:r>
                    <w:rPr>
                      <w:sz w:val="18"/>
                      <w:szCs w:val="18"/>
                    </w:rPr>
                    <w:t>150 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spacing w:line="240" w:lineRule="exact"/>
                    <w:jc w:val="center"/>
                    <w:rPr>
                      <w:kern w:val="0"/>
                      <w:sz w:val="18"/>
                      <w:szCs w:val="18"/>
                    </w:rPr>
                  </w:pPr>
                  <w:r>
                    <w:rPr>
                      <w:kern w:val="0"/>
                      <w:sz w:val="18"/>
                      <w:szCs w:val="18"/>
                    </w:rPr>
                    <w:t>SS</w:t>
                  </w:r>
                </w:p>
              </w:tc>
              <w:tc>
                <w:tcPr>
                  <w:tcW w:w="1186" w:type="pct"/>
                  <w:shd w:val="clear" w:color="auto" w:fill="auto"/>
                  <w:vAlign w:val="center"/>
                </w:tcPr>
                <w:p>
                  <w:pPr>
                    <w:spacing w:line="240" w:lineRule="exact"/>
                    <w:jc w:val="center"/>
                    <w:rPr>
                      <w:sz w:val="18"/>
                      <w:szCs w:val="18"/>
                    </w:rPr>
                  </w:pPr>
                  <w:r>
                    <w:rPr>
                      <w:sz w:val="18"/>
                      <w:szCs w:val="18"/>
                    </w:rPr>
                    <w:t>180 mg/L</w:t>
                  </w:r>
                </w:p>
              </w:tc>
              <w:tc>
                <w:tcPr>
                  <w:tcW w:w="538" w:type="pct"/>
                  <w:vMerge w:val="continue"/>
                  <w:shd w:val="clear" w:color="auto" w:fill="auto"/>
                  <w:vAlign w:val="center"/>
                </w:tcPr>
                <w:p>
                  <w:pPr>
                    <w:spacing w:line="240" w:lineRule="exact"/>
                    <w:jc w:val="center"/>
                    <w:rPr>
                      <w:sz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spacing w:line="240" w:lineRule="exact"/>
                    <w:jc w:val="center"/>
                    <w:rPr>
                      <w:kern w:val="0"/>
                      <w:sz w:val="18"/>
                      <w:szCs w:val="18"/>
                    </w:rPr>
                  </w:pPr>
                  <w:r>
                    <w:rPr>
                      <w:kern w:val="0"/>
                      <w:sz w:val="18"/>
                      <w:szCs w:val="18"/>
                    </w:rPr>
                    <w:t>NH</w:t>
                  </w:r>
                  <w:r>
                    <w:rPr>
                      <w:kern w:val="0"/>
                      <w:sz w:val="18"/>
                      <w:szCs w:val="18"/>
                      <w:vertAlign w:val="subscript"/>
                    </w:rPr>
                    <w:t>3</w:t>
                  </w:r>
                  <w:r>
                    <w:rPr>
                      <w:kern w:val="0"/>
                      <w:sz w:val="18"/>
                      <w:szCs w:val="18"/>
                    </w:rPr>
                    <w:t>-N</w:t>
                  </w:r>
                </w:p>
              </w:tc>
              <w:tc>
                <w:tcPr>
                  <w:tcW w:w="1186" w:type="pct"/>
                  <w:shd w:val="clear" w:color="auto" w:fill="auto"/>
                  <w:vAlign w:val="center"/>
                </w:tcPr>
                <w:p>
                  <w:pPr>
                    <w:spacing w:line="240" w:lineRule="exact"/>
                    <w:jc w:val="center"/>
                    <w:rPr>
                      <w:kern w:val="0"/>
                      <w:sz w:val="18"/>
                      <w:szCs w:val="18"/>
                      <w:highlight w:val="yellow"/>
                    </w:rPr>
                  </w:pPr>
                  <w:r>
                    <w:rPr>
                      <w:sz w:val="18"/>
                      <w:szCs w:val="18"/>
                    </w:rPr>
                    <w:t>25 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restart"/>
                  <w:shd w:val="clear" w:color="auto" w:fill="auto"/>
                  <w:vAlign w:val="center"/>
                </w:tcPr>
                <w:p>
                  <w:pPr>
                    <w:spacing w:line="240" w:lineRule="exact"/>
                    <w:jc w:val="center"/>
                    <w:rPr>
                      <w:kern w:val="0"/>
                      <w:sz w:val="18"/>
                      <w:szCs w:val="18"/>
                    </w:rPr>
                  </w:pPr>
                  <w:r>
                    <w:rPr>
                      <w:kern w:val="0"/>
                      <w:sz w:val="18"/>
                      <w:szCs w:val="18"/>
                    </w:rPr>
                    <w:t>园区污水处理站进水水质要求</w:t>
                  </w:r>
                </w:p>
              </w:tc>
              <w:tc>
                <w:tcPr>
                  <w:tcW w:w="630" w:type="pct"/>
                  <w:shd w:val="clear" w:color="auto" w:fill="auto"/>
                  <w:vAlign w:val="center"/>
                </w:tcPr>
                <w:p>
                  <w:pPr>
                    <w:spacing w:line="240" w:lineRule="exact"/>
                    <w:jc w:val="center"/>
                    <w:rPr>
                      <w:kern w:val="0"/>
                      <w:sz w:val="18"/>
                      <w:szCs w:val="18"/>
                    </w:rPr>
                  </w:pPr>
                  <w:r>
                    <w:rPr>
                      <w:kern w:val="0"/>
                      <w:sz w:val="18"/>
                      <w:szCs w:val="18"/>
                    </w:rPr>
                    <w:t>pH</w:t>
                  </w:r>
                </w:p>
              </w:tc>
              <w:tc>
                <w:tcPr>
                  <w:tcW w:w="1186" w:type="pct"/>
                  <w:shd w:val="clear" w:color="auto" w:fill="auto"/>
                  <w:vAlign w:val="center"/>
                </w:tcPr>
                <w:p>
                  <w:pPr>
                    <w:spacing w:line="240" w:lineRule="exact"/>
                    <w:jc w:val="center"/>
                    <w:rPr>
                      <w:sz w:val="18"/>
                      <w:szCs w:val="18"/>
                    </w:rPr>
                  </w:pPr>
                  <w:r>
                    <w:rPr>
                      <w:sz w:val="18"/>
                      <w:szCs w:val="18"/>
                    </w:rPr>
                    <w:t>6~9</w:t>
                  </w:r>
                </w:p>
              </w:tc>
              <w:tc>
                <w:tcPr>
                  <w:tcW w:w="538" w:type="pct"/>
                  <w:vMerge w:val="restart"/>
                  <w:shd w:val="clear" w:color="auto" w:fill="auto"/>
                  <w:vAlign w:val="center"/>
                </w:tcPr>
                <w:p>
                  <w:pPr>
                    <w:spacing w:line="240" w:lineRule="exact"/>
                    <w:jc w:val="center"/>
                    <w:rPr>
                      <w:sz w:val="18"/>
                      <w:szCs w:val="18"/>
                    </w:rPr>
                  </w:pPr>
                  <w:r>
                    <w:rPr>
                      <w:rFonts w:hint="eastAsia"/>
                      <w:sz w:val="18"/>
                      <w:szCs w:val="18"/>
                    </w:rPr>
                    <w:t>项目</w:t>
                  </w:r>
                  <w:r>
                    <w:rPr>
                      <w:sz w:val="18"/>
                      <w:szCs w:val="18"/>
                    </w:rPr>
                    <w:t>污水排口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widowControl/>
                    <w:spacing w:line="240" w:lineRule="exact"/>
                    <w:jc w:val="center"/>
                    <w:rPr>
                      <w:kern w:val="0"/>
                      <w:sz w:val="18"/>
                      <w:szCs w:val="18"/>
                    </w:rPr>
                  </w:pPr>
                  <w:r>
                    <w:rPr>
                      <w:kern w:val="0"/>
                      <w:sz w:val="18"/>
                      <w:szCs w:val="18"/>
                    </w:rPr>
                    <w:t>COD</w:t>
                  </w:r>
                </w:p>
              </w:tc>
              <w:tc>
                <w:tcPr>
                  <w:tcW w:w="1186" w:type="pct"/>
                  <w:shd w:val="clear" w:color="auto" w:fill="auto"/>
                  <w:vAlign w:val="center"/>
                </w:tcPr>
                <w:p>
                  <w:pPr>
                    <w:widowControl/>
                    <w:spacing w:line="240" w:lineRule="exact"/>
                    <w:jc w:val="center"/>
                    <w:rPr>
                      <w:kern w:val="0"/>
                      <w:sz w:val="18"/>
                      <w:szCs w:val="18"/>
                    </w:rPr>
                  </w:pPr>
                  <w:r>
                    <w:rPr>
                      <w:kern w:val="0"/>
                      <w:sz w:val="18"/>
                      <w:szCs w:val="18"/>
                    </w:rPr>
                    <w:t>474.47mg/L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widowControl/>
                    <w:spacing w:line="240" w:lineRule="exact"/>
                    <w:jc w:val="center"/>
                    <w:rPr>
                      <w:kern w:val="0"/>
                      <w:sz w:val="18"/>
                      <w:szCs w:val="18"/>
                    </w:rPr>
                  </w:pPr>
                  <w:r>
                    <w:rPr>
                      <w:kern w:val="0"/>
                      <w:sz w:val="18"/>
                      <w:szCs w:val="18"/>
                    </w:rPr>
                    <w:t>BOD</w:t>
                  </w:r>
                  <w:r>
                    <w:rPr>
                      <w:kern w:val="0"/>
                      <w:sz w:val="18"/>
                      <w:szCs w:val="18"/>
                      <w:vertAlign w:val="subscript"/>
                    </w:rPr>
                    <w:t>5</w:t>
                  </w:r>
                </w:p>
              </w:tc>
              <w:tc>
                <w:tcPr>
                  <w:tcW w:w="1186" w:type="pct"/>
                  <w:shd w:val="clear" w:color="auto" w:fill="auto"/>
                  <w:vAlign w:val="center"/>
                </w:tcPr>
                <w:p>
                  <w:pPr>
                    <w:widowControl/>
                    <w:spacing w:line="240" w:lineRule="exact"/>
                    <w:jc w:val="center"/>
                    <w:rPr>
                      <w:kern w:val="0"/>
                      <w:sz w:val="18"/>
                      <w:szCs w:val="18"/>
                    </w:rPr>
                  </w:pPr>
                  <w:r>
                    <w:rPr>
                      <w:kern w:val="0"/>
                      <w:sz w:val="18"/>
                      <w:szCs w:val="18"/>
                    </w:rPr>
                    <w:t>218.62mg/L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widowControl/>
                    <w:spacing w:line="240" w:lineRule="exact"/>
                    <w:jc w:val="center"/>
                    <w:rPr>
                      <w:kern w:val="0"/>
                      <w:sz w:val="18"/>
                      <w:szCs w:val="18"/>
                    </w:rPr>
                  </w:pPr>
                  <w:r>
                    <w:rPr>
                      <w:kern w:val="0"/>
                      <w:sz w:val="18"/>
                      <w:szCs w:val="18"/>
                    </w:rPr>
                    <w:t>SS</w:t>
                  </w:r>
                </w:p>
              </w:tc>
              <w:tc>
                <w:tcPr>
                  <w:tcW w:w="1186" w:type="pct"/>
                  <w:shd w:val="clear" w:color="auto" w:fill="auto"/>
                  <w:vAlign w:val="center"/>
                </w:tcPr>
                <w:p>
                  <w:pPr>
                    <w:widowControl/>
                    <w:spacing w:line="240" w:lineRule="exact"/>
                    <w:jc w:val="center"/>
                    <w:rPr>
                      <w:kern w:val="0"/>
                      <w:sz w:val="18"/>
                      <w:szCs w:val="18"/>
                    </w:rPr>
                  </w:pPr>
                  <w:r>
                    <w:rPr>
                      <w:kern w:val="0"/>
                      <w:sz w:val="18"/>
                      <w:szCs w:val="18"/>
                    </w:rPr>
                    <w:t>200 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2367" w:type="pct"/>
                  <w:gridSpan w:val="2"/>
                  <w:vMerge w:val="continue"/>
                  <w:shd w:val="clear" w:color="auto" w:fill="auto"/>
                  <w:vAlign w:val="center"/>
                </w:tcPr>
                <w:p>
                  <w:pPr>
                    <w:spacing w:line="240" w:lineRule="exact"/>
                    <w:jc w:val="center"/>
                    <w:rPr>
                      <w:kern w:val="0"/>
                      <w:sz w:val="18"/>
                      <w:szCs w:val="18"/>
                    </w:rPr>
                  </w:pPr>
                </w:p>
              </w:tc>
              <w:tc>
                <w:tcPr>
                  <w:tcW w:w="630" w:type="pct"/>
                  <w:shd w:val="clear" w:color="auto" w:fill="auto"/>
                  <w:vAlign w:val="center"/>
                </w:tcPr>
                <w:p>
                  <w:pPr>
                    <w:widowControl/>
                    <w:spacing w:line="240" w:lineRule="exact"/>
                    <w:jc w:val="center"/>
                    <w:rPr>
                      <w:kern w:val="0"/>
                      <w:sz w:val="18"/>
                      <w:szCs w:val="18"/>
                    </w:rPr>
                  </w:pPr>
                  <w:r>
                    <w:rPr>
                      <w:sz w:val="18"/>
                      <w:szCs w:val="18"/>
                    </w:rPr>
                    <w:t>NH</w:t>
                  </w:r>
                  <w:r>
                    <w:rPr>
                      <w:sz w:val="18"/>
                      <w:szCs w:val="18"/>
                      <w:vertAlign w:val="subscript"/>
                    </w:rPr>
                    <w:t>3</w:t>
                  </w:r>
                  <w:r>
                    <w:rPr>
                      <w:sz w:val="18"/>
                      <w:szCs w:val="18"/>
                    </w:rPr>
                    <w:t>-N</w:t>
                  </w:r>
                </w:p>
              </w:tc>
              <w:tc>
                <w:tcPr>
                  <w:tcW w:w="1186" w:type="pct"/>
                  <w:shd w:val="clear" w:color="auto" w:fill="auto"/>
                  <w:vAlign w:val="center"/>
                </w:tcPr>
                <w:p>
                  <w:pPr>
                    <w:widowControl/>
                    <w:spacing w:line="240" w:lineRule="exact"/>
                    <w:jc w:val="center"/>
                    <w:rPr>
                      <w:kern w:val="0"/>
                      <w:sz w:val="18"/>
                      <w:szCs w:val="18"/>
                    </w:rPr>
                  </w:pPr>
                  <w:r>
                    <w:rPr>
                      <w:sz w:val="18"/>
                      <w:szCs w:val="18"/>
                    </w:rPr>
                    <w:t>26mg/L</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restart"/>
                  <w:vAlign w:val="center"/>
                </w:tcPr>
                <w:p>
                  <w:pPr>
                    <w:spacing w:line="240" w:lineRule="exact"/>
                    <w:jc w:val="center"/>
                    <w:rPr>
                      <w:kern w:val="0"/>
                      <w:sz w:val="18"/>
                      <w:szCs w:val="18"/>
                    </w:rPr>
                  </w:pPr>
                  <w:r>
                    <w:rPr>
                      <w:kern w:val="0"/>
                      <w:sz w:val="18"/>
                      <w:szCs w:val="18"/>
                    </w:rPr>
                    <w:t>噪声</w:t>
                  </w:r>
                </w:p>
              </w:tc>
              <w:tc>
                <w:tcPr>
                  <w:tcW w:w="1812" w:type="pct"/>
                  <w:vMerge w:val="restart"/>
                  <w:shd w:val="clear" w:color="auto" w:fill="auto"/>
                  <w:vAlign w:val="center"/>
                </w:tcPr>
                <w:p>
                  <w:pPr>
                    <w:spacing w:line="240" w:lineRule="exact"/>
                    <w:jc w:val="center"/>
                    <w:rPr>
                      <w:kern w:val="0"/>
                      <w:sz w:val="18"/>
                      <w:szCs w:val="18"/>
                    </w:rPr>
                  </w:pPr>
                  <w:r>
                    <w:rPr>
                      <w:kern w:val="0"/>
                      <w:sz w:val="18"/>
                      <w:szCs w:val="18"/>
                    </w:rPr>
                    <w:t>《工业企业厂界环境噪声排放标准》（GB12348-2008）</w:t>
                  </w:r>
                </w:p>
              </w:tc>
              <w:tc>
                <w:tcPr>
                  <w:tcW w:w="555" w:type="pct"/>
                  <w:vMerge w:val="restart"/>
                  <w:shd w:val="clear" w:color="auto" w:fill="auto"/>
                  <w:vAlign w:val="center"/>
                </w:tcPr>
                <w:p>
                  <w:pPr>
                    <w:spacing w:line="240" w:lineRule="exact"/>
                    <w:jc w:val="center"/>
                    <w:rPr>
                      <w:kern w:val="0"/>
                      <w:sz w:val="18"/>
                      <w:szCs w:val="18"/>
                    </w:rPr>
                  </w:pPr>
                  <w:r>
                    <w:rPr>
                      <w:kern w:val="0"/>
                      <w:sz w:val="18"/>
                      <w:szCs w:val="18"/>
                    </w:rPr>
                    <w:t>3类</w:t>
                  </w:r>
                </w:p>
              </w:tc>
              <w:tc>
                <w:tcPr>
                  <w:tcW w:w="630" w:type="pct"/>
                  <w:vMerge w:val="restart"/>
                  <w:shd w:val="clear" w:color="auto" w:fill="auto"/>
                  <w:vAlign w:val="center"/>
                </w:tcPr>
                <w:p>
                  <w:pPr>
                    <w:spacing w:line="240" w:lineRule="exact"/>
                    <w:jc w:val="center"/>
                    <w:rPr>
                      <w:kern w:val="0"/>
                      <w:sz w:val="18"/>
                      <w:szCs w:val="18"/>
                    </w:rPr>
                  </w:pPr>
                  <w:r>
                    <w:rPr>
                      <w:kern w:val="0"/>
                      <w:sz w:val="18"/>
                      <w:szCs w:val="18"/>
                    </w:rPr>
                    <w:t>等效A声级</w:t>
                  </w:r>
                </w:p>
              </w:tc>
              <w:tc>
                <w:tcPr>
                  <w:tcW w:w="1186" w:type="pct"/>
                  <w:shd w:val="clear" w:color="auto" w:fill="auto"/>
                  <w:vAlign w:val="center"/>
                </w:tcPr>
                <w:p>
                  <w:pPr>
                    <w:spacing w:line="240" w:lineRule="exact"/>
                    <w:jc w:val="center"/>
                    <w:rPr>
                      <w:kern w:val="0"/>
                      <w:sz w:val="18"/>
                      <w:szCs w:val="18"/>
                    </w:rPr>
                  </w:pPr>
                  <w:r>
                    <w:rPr>
                      <w:kern w:val="0"/>
                      <w:sz w:val="18"/>
                      <w:szCs w:val="18"/>
                    </w:rPr>
                    <w:t>昼间：65dB（A）</w:t>
                  </w:r>
                </w:p>
              </w:tc>
              <w:tc>
                <w:tcPr>
                  <w:tcW w:w="538" w:type="pct"/>
                  <w:vMerge w:val="restart"/>
                  <w:shd w:val="clear" w:color="auto" w:fill="auto"/>
                  <w:vAlign w:val="center"/>
                </w:tcPr>
                <w:p>
                  <w:pPr>
                    <w:spacing w:line="240" w:lineRule="exact"/>
                    <w:jc w:val="center"/>
                    <w:rPr>
                      <w:sz w:val="18"/>
                      <w:szCs w:val="18"/>
                    </w:rPr>
                  </w:pPr>
                  <w:r>
                    <w:rPr>
                      <w:sz w:val="18"/>
                      <w:szCs w:val="18"/>
                    </w:rPr>
                    <w:t>项目边界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9" w:type="pct"/>
                  <w:vMerge w:val="continue"/>
                  <w:vAlign w:val="center"/>
                </w:tcPr>
                <w:p>
                  <w:pPr>
                    <w:spacing w:line="240" w:lineRule="exact"/>
                    <w:jc w:val="center"/>
                    <w:rPr>
                      <w:kern w:val="0"/>
                      <w:sz w:val="18"/>
                      <w:szCs w:val="18"/>
                    </w:rPr>
                  </w:pPr>
                </w:p>
              </w:tc>
              <w:tc>
                <w:tcPr>
                  <w:tcW w:w="1812" w:type="pct"/>
                  <w:vMerge w:val="continue"/>
                  <w:shd w:val="clear" w:color="auto" w:fill="auto"/>
                  <w:vAlign w:val="center"/>
                </w:tcPr>
                <w:p>
                  <w:pPr>
                    <w:spacing w:line="240" w:lineRule="exact"/>
                    <w:jc w:val="center"/>
                    <w:rPr>
                      <w:kern w:val="0"/>
                      <w:sz w:val="18"/>
                      <w:szCs w:val="18"/>
                    </w:rPr>
                  </w:pPr>
                </w:p>
              </w:tc>
              <w:tc>
                <w:tcPr>
                  <w:tcW w:w="555" w:type="pct"/>
                  <w:vMerge w:val="continue"/>
                  <w:shd w:val="clear" w:color="auto" w:fill="auto"/>
                  <w:vAlign w:val="center"/>
                </w:tcPr>
                <w:p>
                  <w:pPr>
                    <w:spacing w:line="240" w:lineRule="exact"/>
                    <w:jc w:val="center"/>
                    <w:rPr>
                      <w:kern w:val="0"/>
                      <w:sz w:val="18"/>
                      <w:szCs w:val="18"/>
                    </w:rPr>
                  </w:pPr>
                </w:p>
              </w:tc>
              <w:tc>
                <w:tcPr>
                  <w:tcW w:w="630" w:type="pct"/>
                  <w:vMerge w:val="continue"/>
                  <w:shd w:val="clear" w:color="auto" w:fill="auto"/>
                  <w:vAlign w:val="center"/>
                </w:tcPr>
                <w:p>
                  <w:pPr>
                    <w:spacing w:line="240" w:lineRule="exact"/>
                    <w:jc w:val="center"/>
                    <w:rPr>
                      <w:kern w:val="0"/>
                      <w:sz w:val="18"/>
                      <w:szCs w:val="18"/>
                    </w:rPr>
                  </w:pPr>
                </w:p>
              </w:tc>
              <w:tc>
                <w:tcPr>
                  <w:tcW w:w="1186" w:type="pct"/>
                  <w:shd w:val="clear" w:color="auto" w:fill="auto"/>
                  <w:vAlign w:val="center"/>
                </w:tcPr>
                <w:p>
                  <w:pPr>
                    <w:spacing w:line="240" w:lineRule="exact"/>
                    <w:jc w:val="center"/>
                    <w:rPr>
                      <w:kern w:val="0"/>
                      <w:sz w:val="18"/>
                      <w:szCs w:val="18"/>
                    </w:rPr>
                  </w:pPr>
                  <w:r>
                    <w:rPr>
                      <w:kern w:val="0"/>
                      <w:sz w:val="18"/>
                      <w:szCs w:val="18"/>
                    </w:rPr>
                    <w:t>夜间：55dB（A）</w:t>
                  </w:r>
                </w:p>
              </w:tc>
              <w:tc>
                <w:tcPr>
                  <w:tcW w:w="538" w:type="pct"/>
                  <w:vMerge w:val="continue"/>
                  <w:shd w:val="clear" w:color="auto" w:fill="auto"/>
                  <w:vAlign w:val="center"/>
                </w:tcPr>
                <w:p>
                  <w:pPr>
                    <w:spacing w:line="240" w:lineRule="exact"/>
                    <w:jc w:val="center"/>
                    <w:rPr>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279" w:type="pct"/>
                  <w:vAlign w:val="center"/>
                </w:tcPr>
                <w:p>
                  <w:pPr>
                    <w:spacing w:line="240" w:lineRule="exact"/>
                    <w:jc w:val="center"/>
                    <w:rPr>
                      <w:kern w:val="0"/>
                      <w:sz w:val="18"/>
                      <w:szCs w:val="18"/>
                    </w:rPr>
                  </w:pPr>
                  <w:r>
                    <w:rPr>
                      <w:kern w:val="0"/>
                      <w:sz w:val="18"/>
                      <w:szCs w:val="18"/>
                    </w:rPr>
                    <w:t>废气</w:t>
                  </w:r>
                </w:p>
              </w:tc>
              <w:tc>
                <w:tcPr>
                  <w:tcW w:w="1812" w:type="pct"/>
                  <w:shd w:val="clear" w:color="auto" w:fill="auto"/>
                  <w:vAlign w:val="center"/>
                </w:tcPr>
                <w:p>
                  <w:pPr>
                    <w:spacing w:line="240" w:lineRule="exact"/>
                    <w:jc w:val="center"/>
                    <w:rPr>
                      <w:sz w:val="18"/>
                      <w:szCs w:val="18"/>
                    </w:rPr>
                  </w:pPr>
                  <w:r>
                    <w:rPr>
                      <w:sz w:val="18"/>
                      <w:szCs w:val="18"/>
                    </w:rPr>
                    <w:t>《厦门市大气污染物排放标准》（DB35/323-2018）</w:t>
                  </w:r>
                </w:p>
              </w:tc>
              <w:tc>
                <w:tcPr>
                  <w:tcW w:w="555" w:type="pct"/>
                  <w:shd w:val="clear" w:color="auto" w:fill="auto"/>
                  <w:vAlign w:val="center"/>
                </w:tcPr>
                <w:p>
                  <w:pPr>
                    <w:spacing w:line="240" w:lineRule="exact"/>
                    <w:jc w:val="center"/>
                    <w:rPr>
                      <w:sz w:val="18"/>
                      <w:szCs w:val="18"/>
                    </w:rPr>
                  </w:pPr>
                  <w:r>
                    <w:rPr>
                      <w:sz w:val="18"/>
                      <w:szCs w:val="18"/>
                    </w:rPr>
                    <w:t>表2其他行业</w:t>
                  </w:r>
                </w:p>
              </w:tc>
              <w:tc>
                <w:tcPr>
                  <w:tcW w:w="630" w:type="pct"/>
                  <w:shd w:val="clear" w:color="auto" w:fill="auto"/>
                  <w:vAlign w:val="center"/>
                </w:tcPr>
                <w:p>
                  <w:pPr>
                    <w:spacing w:line="240" w:lineRule="exact"/>
                    <w:jc w:val="center"/>
                    <w:rPr>
                      <w:kern w:val="0"/>
                      <w:sz w:val="18"/>
                      <w:szCs w:val="18"/>
                    </w:rPr>
                  </w:pPr>
                  <w:r>
                    <w:rPr>
                      <w:kern w:val="0"/>
                      <w:sz w:val="18"/>
                      <w:szCs w:val="18"/>
                    </w:rPr>
                    <w:t>VOCs</w:t>
                  </w:r>
                </w:p>
              </w:tc>
              <w:tc>
                <w:tcPr>
                  <w:tcW w:w="1186" w:type="pct"/>
                  <w:shd w:val="clear" w:color="auto" w:fill="auto"/>
                  <w:vAlign w:val="center"/>
                </w:tcPr>
                <w:p>
                  <w:pPr>
                    <w:spacing w:line="240" w:lineRule="exact"/>
                    <w:jc w:val="center"/>
                    <w:rPr>
                      <w:sz w:val="18"/>
                      <w:szCs w:val="18"/>
                    </w:rPr>
                  </w:pPr>
                  <w:r>
                    <w:rPr>
                      <w:sz w:val="18"/>
                      <w:szCs w:val="18"/>
                    </w:rPr>
                    <w:t>60mg/m</w:t>
                  </w:r>
                  <w:r>
                    <w:rPr>
                      <w:sz w:val="18"/>
                      <w:szCs w:val="18"/>
                      <w:vertAlign w:val="superscript"/>
                    </w:rPr>
                    <w:t>3</w:t>
                  </w:r>
                  <w:r>
                    <w:rPr>
                      <w:sz w:val="18"/>
                      <w:szCs w:val="18"/>
                    </w:rPr>
                    <w:t>，1.8kg/h</w:t>
                  </w:r>
                </w:p>
                <w:p>
                  <w:pPr>
                    <w:spacing w:line="240" w:lineRule="exact"/>
                    <w:jc w:val="center"/>
                    <w:rPr>
                      <w:sz w:val="18"/>
                      <w:szCs w:val="18"/>
                    </w:rPr>
                  </w:pPr>
                  <w:r>
                    <w:rPr>
                      <w:sz w:val="18"/>
                      <w:szCs w:val="18"/>
                    </w:rPr>
                    <w:t>（20m排气筒）</w:t>
                  </w:r>
                </w:p>
              </w:tc>
              <w:tc>
                <w:tcPr>
                  <w:tcW w:w="538" w:type="pct"/>
                  <w:shd w:val="clear" w:color="auto" w:fill="auto"/>
                  <w:vAlign w:val="center"/>
                </w:tcPr>
                <w:p>
                  <w:pPr>
                    <w:spacing w:line="240" w:lineRule="exact"/>
                    <w:jc w:val="center"/>
                    <w:rPr>
                      <w:sz w:val="18"/>
                      <w:szCs w:val="18"/>
                    </w:rPr>
                  </w:pPr>
                  <w:r>
                    <w:rPr>
                      <w:sz w:val="18"/>
                      <w:szCs w:val="18"/>
                    </w:rPr>
                    <w:t>实验室废气</w:t>
                  </w:r>
                </w:p>
              </w:tc>
            </w:tr>
          </w:tbl>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3.总量控制</w:t>
            </w:r>
          </w:p>
          <w:p>
            <w:pPr>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根据国家对实施污染物排放总量控制的要求以及</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污染物排放特点，确定</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污染物排放总量控制因子为废水为COD、NH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-N两项，废气为VOCs一项。项目不属于工业项目，且污水可排入豹澥污水处理厂处理达标后排放，因此</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不需申请COD、NH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-N总量控制指标。</w:t>
            </w:r>
            <w:r>
              <w:rPr>
                <w:rFonts w:hint="eastAsia"/>
                <w:bCs/>
                <w:sz w:val="24"/>
              </w:rPr>
              <w:t>项目</w:t>
            </w:r>
            <w:r>
              <w:rPr>
                <w:bCs/>
                <w:sz w:val="24"/>
              </w:rPr>
              <w:t>VOC</w:t>
            </w:r>
            <w:r>
              <w:rPr>
                <w:bCs/>
                <w:sz w:val="24"/>
                <w:vertAlign w:val="subscript"/>
              </w:rPr>
              <w:t>S</w:t>
            </w:r>
            <w:r>
              <w:rPr>
                <w:bCs/>
                <w:sz w:val="24"/>
              </w:rPr>
              <w:t>总量控制指标为0.00675t/a</w:t>
            </w:r>
            <w:r>
              <w:rPr>
                <w:rFonts w:hint="eastAsia"/>
                <w:bCs/>
                <w:sz w:val="24"/>
                <w:lang w:eastAsia="zh-CN"/>
              </w:rPr>
              <w:t>。</w:t>
            </w:r>
          </w:p>
          <w:p>
            <w:pPr>
              <w:spacing w:line="360" w:lineRule="auto"/>
              <w:ind w:firstLine="480" w:firstLineChars="200"/>
              <w:rPr>
                <w:color w:val="000000" w:themeColor="text1"/>
                <w:sz w:val="24"/>
                <w14:textFill>
                  <w14:solidFill>
                    <w14:schemeClr w14:val="tx1"/>
                  </w14:solidFill>
                </w14:textFill>
              </w:rPr>
            </w:pPr>
          </w:p>
        </w:tc>
      </w:tr>
    </w:tbl>
    <w:p>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bookmarkStart w:id="1" w:name="_Toc525552347"/>
      <w:r>
        <w:rPr>
          <w:rFonts w:ascii="Times New Roman" w:hAnsi="Times New Roman"/>
          <w:color w:val="000000" w:themeColor="text1"/>
          <w14:textFill>
            <w14:solidFill>
              <w14:schemeClr w14:val="tx1"/>
            </w14:solidFill>
          </w14:textFill>
        </w:rPr>
        <w:t>表二  验收项目基本情况</w:t>
      </w:r>
      <w:bookmarkEnd w:id="1"/>
    </w:p>
    <w:tbl>
      <w:tblPr>
        <w:tblStyle w:val="29"/>
        <w:tblW w:w="928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09" w:hRule="atLeast"/>
        </w:trPr>
        <w:tc>
          <w:tcPr>
            <w:tcW w:w="9286" w:type="dxa"/>
          </w:tcPr>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2.1项目概况</w:t>
            </w:r>
          </w:p>
          <w:p>
            <w:pPr>
              <w:pStyle w:val="24"/>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ascii="Times New Roman" w:hAnsi="Times New Roman" w:cs="Times New Roman" w:eastAsiaTheme="minorEastAsia"/>
                <w:color w:val="000000" w:themeColor="text1"/>
                <w:kern w:val="2"/>
                <w14:textFill>
                  <w14:solidFill>
                    <w14:schemeClr w14:val="tx1"/>
                  </w14:solidFill>
                </w14:textFill>
              </w:rPr>
              <w:t>武汉普诺赛生命科技有限公司成立于2013年11月，注册资本100万元。主要从事生命科学、生物工程与生物医学工程技术的研发、技术咨询。2017年，武汉普诺赛生命科技有限公司投资300万元在生物医药园中小企业园服务中心A-88栋四层建设“新型无血清培养基研发项目”，主要进行新型无血清培养基研发，研发量约500次/年。该项目于2017年4月26日获得武汉东湖新技术开发区环境保护局的批复（武新环审[2017]46号）；并于2018年3月5日完成了竣工环境保护自主验收工作。</w:t>
            </w:r>
          </w:p>
          <w:p>
            <w:pPr>
              <w:pStyle w:val="24"/>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ascii="Times New Roman" w:hAnsi="Times New Roman" w:cs="Times New Roman" w:eastAsiaTheme="minorEastAsia"/>
                <w:color w:val="000000" w:themeColor="text1"/>
                <w:kern w:val="2"/>
                <w14:textFill>
                  <w14:solidFill>
                    <w14:schemeClr w14:val="tx1"/>
                  </w14:solidFill>
                </w14:textFill>
              </w:rPr>
              <w:t>2018年10月，武汉普诺赛生命科技有限公司委托武汉智汇元环保科技有限公司承担“新型无血清培养基研发项目二期”环境影响评价工作。由于光谷生物城生物医药园中试区污水处理设施一直未投入运行，导致</w:t>
            </w:r>
            <w:r>
              <w:rPr>
                <w:rFonts w:hint="eastAsia" w:ascii="Times New Roman" w:hAnsi="Times New Roman" w:cs="Times New Roman" w:eastAsiaTheme="minorEastAsia"/>
                <w:color w:val="000000" w:themeColor="text1"/>
                <w:kern w:val="2"/>
                <w14:textFill>
                  <w14:solidFill>
                    <w14:schemeClr w14:val="tx1"/>
                  </w14:solidFill>
                </w14:textFill>
              </w:rPr>
              <w:t>项目</w:t>
            </w:r>
            <w:r>
              <w:rPr>
                <w:rFonts w:ascii="Times New Roman" w:hAnsi="Times New Roman" w:cs="Times New Roman" w:eastAsiaTheme="minorEastAsia"/>
                <w:color w:val="000000" w:themeColor="text1"/>
                <w:kern w:val="2"/>
                <w14:textFill>
                  <w14:solidFill>
                    <w14:schemeClr w14:val="tx1"/>
                  </w14:solidFill>
                </w14:textFill>
              </w:rPr>
              <w:t>环评工作暂停。2019年3月底，光谷生物城生物医药园研发中试区通过竣工环保验收工作，污水处理设施投入运行。武汉普诺赛生命科技有限公司于2020年9月</w:t>
            </w:r>
            <w:r>
              <w:rPr>
                <w:rFonts w:hint="eastAsia" w:ascii="Times New Roman" w:hAnsi="Times New Roman" w:cs="Times New Roman" w:eastAsiaTheme="minorEastAsia"/>
                <w:color w:val="000000" w:themeColor="text1"/>
                <w:kern w:val="2"/>
                <w14:textFill>
                  <w14:solidFill>
                    <w14:schemeClr w14:val="tx1"/>
                  </w14:solidFill>
                </w14:textFill>
              </w:rPr>
              <w:t>委托</w:t>
            </w:r>
            <w:r>
              <w:rPr>
                <w:rFonts w:ascii="Times New Roman" w:hAnsi="Times New Roman" w:cs="Times New Roman" w:eastAsiaTheme="minorEastAsia"/>
                <w:color w:val="000000" w:themeColor="text1"/>
                <w:kern w:val="2"/>
                <w14:textFill>
                  <w14:solidFill>
                    <w14:schemeClr w14:val="tx1"/>
                  </w14:solidFill>
                </w14:textFill>
              </w:rPr>
              <w:t>武汉智汇元环保科技有限公司再次启动环评工作，2021年1月，武汉东湖新技术开发区生态环境和水务湖泊局于2021年1月20日以《关于武汉普诺赛生命科技有限公司新型无血清培养基研发项目二期环境影响报告表的批复》（武新环告[2021]7号）批准了该项目。</w:t>
            </w:r>
          </w:p>
          <w:p>
            <w:pPr>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国务院第682号令《国务院关于修改〈建设项目环境保护管理条例〉的决定》、环境保护部[2017]4号文《关于发布&lt;建设项目竣工环境保护验收暂行办法&gt;的公告》等法律法规要求，武汉普诺赛生命科技有限公司于202</w:t>
            </w:r>
            <w:r>
              <w:rPr>
                <w:rFonts w:hint="eastAsia" w:eastAsiaTheme="minorEastAsia"/>
                <w:color w:val="000000" w:themeColor="text1"/>
                <w:sz w:val="24"/>
                <w:lang w:val="en-US" w:eastAsia="zh-CN"/>
                <w14:textFill>
                  <w14:solidFill>
                    <w14:schemeClr w14:val="tx1"/>
                  </w14:solidFill>
                </w14:textFill>
              </w:rPr>
              <w:t>1</w:t>
            </w:r>
            <w:r>
              <w:rPr>
                <w:rFonts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12</w:t>
            </w:r>
            <w:r>
              <w:rPr>
                <w:rFonts w:eastAsiaTheme="minorEastAsia"/>
                <w:color w:val="000000" w:themeColor="text1"/>
                <w:sz w:val="24"/>
                <w14:textFill>
                  <w14:solidFill>
                    <w14:schemeClr w14:val="tx1"/>
                  </w14:solidFill>
                </w14:textFill>
              </w:rPr>
              <w:t>月委托了湖北格物生态环境科技有限公司承担新型无血清培养基研发项目二期竣工环境保护验收工作。主要工作内容包括：考查“三同时”制度的执行情况；检查原环评报告及批复中环保要求的落实情况；检查环境管理情况是否符合要求，提出存在的问题和整改建议等。</w:t>
            </w:r>
          </w:p>
          <w:p>
            <w:pPr>
              <w:pStyle w:val="24"/>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14:textFill>
                  <w14:solidFill>
                    <w14:schemeClr w14:val="tx1"/>
                  </w14:solidFill>
                </w14:textFill>
              </w:rPr>
            </w:pPr>
            <w:r>
              <w:rPr>
                <w:rFonts w:ascii="Times New Roman" w:hAnsi="Times New Roman" w:cs="Times New Roman" w:eastAsiaTheme="minorEastAsia"/>
                <w:color w:val="000000" w:themeColor="text1"/>
                <w14:textFill>
                  <w14:solidFill>
                    <w14:schemeClr w14:val="tx1"/>
                  </w14:solidFill>
                </w14:textFill>
              </w:rPr>
              <w:t>湖北格物生态环境科技有限公司于20</w:t>
            </w:r>
            <w:r>
              <w:rPr>
                <w:rFonts w:ascii="Times New Roman" w:hAnsi="Times New Roman" w:cs="Times New Roman" w:eastAsiaTheme="minorEastAsia"/>
              </w:rPr>
              <w:t>22年3月1日</w:t>
            </w:r>
            <w:r>
              <w:rPr>
                <w:rFonts w:ascii="Times New Roman" w:hAnsi="Times New Roman" w:cs="Times New Roman" w:eastAsiaTheme="minorEastAsia"/>
                <w:color w:val="000000" w:themeColor="text1"/>
                <w14:textFill>
                  <w14:solidFill>
                    <w14:schemeClr w14:val="tx1"/>
                  </w14:solidFill>
                </w14:textFill>
              </w:rPr>
              <w:t>组织有关技术人员对该项目进行了现场踏勘，并委托湖北跃华检测有限公司于</w:t>
            </w:r>
            <w:r>
              <w:rPr>
                <w:rFonts w:ascii="Times New Roman" w:hAnsi="Times New Roman" w:cs="Times New Roman" w:eastAsiaTheme="minorEastAsia"/>
              </w:rPr>
              <w:t>2022年3月9日、10日</w:t>
            </w:r>
            <w:r>
              <w:rPr>
                <w:rFonts w:ascii="Times New Roman" w:hAnsi="Times New Roman" w:cs="Times New Roman" w:eastAsiaTheme="minorEastAsia"/>
                <w:color w:val="000000" w:themeColor="text1"/>
                <w14:textFill>
                  <w14:solidFill>
                    <w14:schemeClr w14:val="tx1"/>
                  </w14:solidFill>
                </w14:textFill>
              </w:rPr>
              <w:t>对该项目进行了现场监测，湖北格物生态环境科技有限公司在汇总了现场检查结果及监测数据的基础上编制完成了《新型无血清培养基研发项目二期竣工环境保护验收报告表》。</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2.2项目验收范围</w:t>
            </w:r>
          </w:p>
          <w:p>
            <w:pPr>
              <w:spacing w:line="360" w:lineRule="auto"/>
              <w:ind w:firstLine="480" w:firstLineChars="200"/>
              <w:rPr>
                <w:kern w:val="0"/>
                <w:sz w:val="24"/>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验收范围为新型无血清培养基研发项目二期建设工程，</w:t>
            </w:r>
            <w:r>
              <w:rPr>
                <w:rFonts w:hint="eastAsia"/>
                <w:color w:val="000000" w:themeColor="text1"/>
                <w:sz w:val="24"/>
                <w14:textFill>
                  <w14:solidFill>
                    <w14:schemeClr w14:val="tx1"/>
                  </w14:solidFill>
                </w14:textFill>
              </w:rPr>
              <w:t>位于</w:t>
            </w:r>
            <w:r>
              <w:rPr>
                <w:kern w:val="0"/>
                <w:sz w:val="24"/>
              </w:rPr>
              <w:t>光谷生物城生物医药园中试区C4栋二层、五层</w:t>
            </w:r>
            <w:r>
              <w:rPr>
                <w:rFonts w:hint="eastAsia"/>
                <w:kern w:val="0"/>
                <w:sz w:val="24"/>
              </w:rPr>
              <w:t>。</w:t>
            </w:r>
            <w:r>
              <w:rPr>
                <w:kern w:val="0"/>
                <w:sz w:val="24"/>
              </w:rPr>
              <w:t>项目总投资300万元，</w:t>
            </w:r>
            <w:r>
              <w:rPr>
                <w:color w:val="000000" w:themeColor="text1"/>
                <w:sz w:val="24"/>
                <w14:textFill>
                  <w14:solidFill>
                    <w14:schemeClr w14:val="tx1"/>
                  </w14:solidFill>
                </w14:textFill>
              </w:rPr>
              <w:t>研发</w:t>
            </w:r>
            <w:r>
              <w:rPr>
                <w:kern w:val="0"/>
                <w:sz w:val="24"/>
              </w:rPr>
              <w:t>量为500次/年。</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2.3项目建设情况</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2.3.1项目名称和地理位置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项目名称：新型无血清培养基研发项目二期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建设地点：武汉市东湖高新技术开发区高新大道858号光谷生物城生物医药园中试区C4栋二层、五层，项目地理位置见附图1。</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建设单位：武汉普诺赛生命科技有限公司</w:t>
            </w:r>
          </w:p>
          <w:tbl>
            <w:tblPr>
              <w:tblStyle w:val="28"/>
              <w:tblW w:w="8504" w:type="dxa"/>
              <w:jc w:val="center"/>
              <w:tblLayout w:type="fixed"/>
              <w:tblCellMar>
                <w:top w:w="0" w:type="dxa"/>
                <w:left w:w="108" w:type="dxa"/>
                <w:bottom w:w="0" w:type="dxa"/>
                <w:right w:w="108" w:type="dxa"/>
              </w:tblCellMar>
            </w:tblPr>
            <w:tblGrid>
              <w:gridCol w:w="4353"/>
              <w:gridCol w:w="4151"/>
            </w:tblGrid>
            <w:tr>
              <w:tblPrEx>
                <w:tblCellMar>
                  <w:top w:w="0" w:type="dxa"/>
                  <w:left w:w="108" w:type="dxa"/>
                  <w:bottom w:w="0" w:type="dxa"/>
                  <w:right w:w="108" w:type="dxa"/>
                </w:tblCellMar>
              </w:tblPrEx>
              <w:trPr>
                <w:trHeight w:val="90" w:hRule="atLeast"/>
                <w:jc w:val="center"/>
              </w:trPr>
              <w:tc>
                <w:tcPr>
                  <w:tcW w:w="4353" w:type="dxa"/>
                  <w:vAlign w:val="center"/>
                </w:tcPr>
                <w:p>
                  <w:pPr>
                    <w:jc w:val="center"/>
                    <w:rPr>
                      <w:color w:val="000000" w:themeColor="text1"/>
                      <w:sz w:val="18"/>
                      <w:szCs w:val="18"/>
                      <w14:textFill>
                        <w14:solidFill>
                          <w14:schemeClr w14:val="tx1"/>
                        </w14:solidFill>
                      </w14:textFill>
                    </w:rPr>
                  </w:pPr>
                  <w:r>
                    <w:drawing>
                      <wp:inline distT="0" distB="0" distL="114300" distR="114300">
                        <wp:extent cx="2247900" cy="1450340"/>
                        <wp:effectExtent l="0" t="0" r="0" b="165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6"/>
                                <a:srcRect l="-2035" t="-337" r="-2035" b="-381"/>
                                <a:stretch>
                                  <a:fillRect/>
                                </a:stretch>
                              </pic:blipFill>
                              <pic:spPr>
                                <a:xfrm>
                                  <a:off x="0" y="0"/>
                                  <a:ext cx="2247900" cy="1450340"/>
                                </a:xfrm>
                                <a:prstGeom prst="rect">
                                  <a:avLst/>
                                </a:prstGeom>
                                <a:noFill/>
                                <a:ln>
                                  <a:noFill/>
                                </a:ln>
                              </pic:spPr>
                            </pic:pic>
                          </a:graphicData>
                        </a:graphic>
                      </wp:inline>
                    </w:drawing>
                  </w:r>
                </w:p>
              </w:tc>
              <w:tc>
                <w:tcPr>
                  <w:tcW w:w="4151" w:type="dxa"/>
                  <w:vAlign w:val="center"/>
                </w:tcPr>
                <w:p>
                  <w:pPr>
                    <w:jc w:val="center"/>
                    <w:rPr>
                      <w:color w:val="000000" w:themeColor="text1"/>
                      <w:sz w:val="18"/>
                      <w:szCs w:val="18"/>
                      <w14:textFill>
                        <w14:solidFill>
                          <w14:schemeClr w14:val="tx1"/>
                        </w14:solidFill>
                      </w14:textFill>
                    </w:rPr>
                  </w:pPr>
                  <w:r>
                    <w:drawing>
                      <wp:inline distT="0" distB="0" distL="114300" distR="114300">
                        <wp:extent cx="2163445" cy="1470025"/>
                        <wp:effectExtent l="0" t="0" r="8255" b="1587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7"/>
                                <a:srcRect l="-65" t="-1043" r="-94" b="-1043"/>
                                <a:stretch>
                                  <a:fillRect/>
                                </a:stretch>
                              </pic:blipFill>
                              <pic:spPr>
                                <a:xfrm>
                                  <a:off x="0" y="0"/>
                                  <a:ext cx="2163445" cy="147002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8504" w:type="dxa"/>
                  <w:gridSpan w:val="2"/>
                  <w:vAlign w:val="center"/>
                </w:tcPr>
                <w:p>
                  <w:pPr>
                    <w:jc w:val="center"/>
                    <w:rPr>
                      <w:rFonts w:eastAsia="黑体"/>
                      <w:color w:val="000000" w:themeColor="text1"/>
                      <w:sz w:val="18"/>
                      <w:szCs w:val="18"/>
                      <w14:textFill>
                        <w14:solidFill>
                          <w14:schemeClr w14:val="tx1"/>
                        </w14:solidFill>
                      </w14:textFill>
                    </w:rPr>
                  </w:pPr>
                  <w:r>
                    <w:rPr>
                      <w:rFonts w:hint="eastAsia" w:eastAsia="黑体"/>
                      <w:color w:val="000000" w:themeColor="text1"/>
                      <w:sz w:val="18"/>
                      <w:szCs w:val="18"/>
                      <w:lang w:eastAsia="zh-CN"/>
                      <w14:textFill>
                        <w14:solidFill>
                          <w14:schemeClr w14:val="tx1"/>
                        </w14:solidFill>
                      </w14:textFill>
                    </w:rPr>
                    <w:t>企业内部</w:t>
                  </w:r>
                  <w:r>
                    <w:rPr>
                      <w:rFonts w:hint="eastAsia" w:eastAsia="黑体"/>
                      <w:color w:val="000000" w:themeColor="text1"/>
                      <w:sz w:val="18"/>
                      <w:szCs w:val="18"/>
                      <w14:textFill>
                        <w14:solidFill>
                          <w14:schemeClr w14:val="tx1"/>
                        </w14:solidFill>
                      </w14:textFill>
                    </w:rPr>
                    <w:t>实景</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图2-1 项目基本情况图例</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2.3.2项目周边环境概况</w:t>
            </w:r>
          </w:p>
          <w:p>
            <w:pPr>
              <w:spacing w:line="360" w:lineRule="auto"/>
              <w:ind w:right="178" w:rightChars="85"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建设地点位于武汉市东湖高新技术开发区高新大道858号光谷生物城生物医药园中试区C4栋二层、五层</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光谷生物城医药园位于武汉国家生物产业基地，神墩三路（城市交通次干道，道路红线40m）以南</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神墩四路（城市交通次干道，道路红线40m）以北、生物园路（城市交通次干道，道路红线40m）以西、生物园西路（城市交通次干道，道路红线40m）以东地块。</w:t>
            </w:r>
          </w:p>
          <w:p>
            <w:pPr>
              <w:spacing w:line="360" w:lineRule="auto"/>
              <w:ind w:right="178" w:rightChars="85"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项目所在楼栋C4栋共5层，C4栋呈“L”型。楼栋东侧和南侧为园区道路，西侧为C3栋及园区庭院，北侧为C6栋。</w:t>
            </w:r>
          </w:p>
          <w:p>
            <w:pPr>
              <w:spacing w:line="360" w:lineRule="auto"/>
              <w:ind w:right="178" w:rightChars="85" w:firstLine="480" w:firstLineChars="200"/>
              <w:rPr>
                <w:rFonts w:eastAsia="黑体"/>
                <w:color w:val="000000" w:themeColor="text1"/>
                <w:sz w:val="24"/>
                <w14:textFill>
                  <w14:solidFill>
                    <w14:schemeClr w14:val="tx1"/>
                  </w14:solidFill>
                </w14:textFill>
              </w:rPr>
            </w:pPr>
            <w:r>
              <w:rPr>
                <w:color w:val="000000" w:themeColor="text1"/>
                <w:sz w:val="24"/>
                <w14:textFill>
                  <w14:solidFill>
                    <w14:schemeClr w14:val="tx1"/>
                  </w14:solidFill>
                </w14:textFill>
              </w:rPr>
              <w:t>项目周边环境情况一览表见表2-1，区域位置及周边状况见附图2</w:t>
            </w:r>
            <w:r>
              <w:rPr>
                <w:rFonts w:eastAsia="黑体"/>
                <w:color w:val="000000" w:themeColor="text1"/>
                <w:sz w:val="24"/>
                <w14:textFill>
                  <w14:solidFill>
                    <w14:schemeClr w14:val="tx1"/>
                  </w14:solidFill>
                </w14:textFill>
              </w:rPr>
              <w:t>。</w:t>
            </w:r>
          </w:p>
          <w:p>
            <w:pPr>
              <w:ind w:firstLine="420" w:firstLineChars="200"/>
              <w:jc w:val="center"/>
              <w:rPr>
                <w:rFonts w:eastAsia="黑体"/>
                <w:szCs w:val="21"/>
              </w:rPr>
            </w:pPr>
            <w:r>
              <w:rPr>
                <w:rFonts w:eastAsia="黑体"/>
                <w:szCs w:val="21"/>
              </w:rPr>
              <w:t>表2-1 项目周边环境情况一览表</w:t>
            </w:r>
          </w:p>
          <w:tbl>
            <w:tblPr>
              <w:tblStyle w:val="2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804"/>
              <w:gridCol w:w="1701"/>
              <w:gridCol w:w="1275"/>
              <w:gridCol w:w="3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0" w:type="dxa"/>
                  <w:tcBorders>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方位</w:t>
                  </w:r>
                </w:p>
              </w:tc>
              <w:tc>
                <w:tcPr>
                  <w:tcW w:w="1804" w:type="dxa"/>
                  <w:tcBorders>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周边情况</w:t>
                  </w:r>
                </w:p>
              </w:tc>
              <w:tc>
                <w:tcPr>
                  <w:tcW w:w="1701" w:type="dxa"/>
                  <w:tcBorders>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距离园区边界最近距离（m）</w:t>
                  </w:r>
                </w:p>
              </w:tc>
              <w:tc>
                <w:tcPr>
                  <w:tcW w:w="1275" w:type="dxa"/>
                  <w:tcBorders>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距离</w:t>
                  </w:r>
                  <w:r>
                    <w:rPr>
                      <w:rFonts w:hint="eastAsia" w:eastAsiaTheme="minorEastAsia"/>
                      <w:b/>
                      <w:bCs/>
                      <w:kern w:val="0"/>
                      <w:sz w:val="18"/>
                      <w:szCs w:val="18"/>
                    </w:rPr>
                    <w:t>项目</w:t>
                  </w:r>
                  <w:r>
                    <w:rPr>
                      <w:rFonts w:eastAsiaTheme="minorEastAsia"/>
                      <w:b/>
                      <w:bCs/>
                      <w:kern w:val="0"/>
                      <w:sz w:val="18"/>
                      <w:szCs w:val="18"/>
                    </w:rPr>
                    <w:t>最近距离（m）</w:t>
                  </w:r>
                </w:p>
              </w:tc>
              <w:tc>
                <w:tcPr>
                  <w:tcW w:w="3116" w:type="dxa"/>
                  <w:tcBorders>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0" w:type="dxa"/>
                  <w:vMerge w:val="restart"/>
                  <w:tcBorders>
                    <w:top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东侧</w:t>
                  </w:r>
                </w:p>
              </w:tc>
              <w:tc>
                <w:tcPr>
                  <w:tcW w:w="1804" w:type="dxa"/>
                  <w:tcBorders>
                    <w:top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生物园路</w:t>
                  </w:r>
                </w:p>
              </w:tc>
              <w:tc>
                <w:tcPr>
                  <w:tcW w:w="1701" w:type="dxa"/>
                  <w:tcBorders>
                    <w:top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紧邻</w:t>
                  </w:r>
                </w:p>
              </w:tc>
              <w:tc>
                <w:tcPr>
                  <w:tcW w:w="1275" w:type="dxa"/>
                  <w:tcBorders>
                    <w:top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110</w:t>
                  </w:r>
                </w:p>
              </w:tc>
              <w:tc>
                <w:tcPr>
                  <w:tcW w:w="3116" w:type="dxa"/>
                  <w:tcBorders>
                    <w:top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15m宽，双向车道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continue"/>
                  <w:vAlign w:val="center"/>
                </w:tcPr>
                <w:p>
                  <w:pPr>
                    <w:widowControl/>
                    <w:spacing w:line="240" w:lineRule="exact"/>
                    <w:jc w:val="center"/>
                    <w:rPr>
                      <w:rFonts w:eastAsiaTheme="minorEastAsia"/>
                      <w:kern w:val="0"/>
                      <w:sz w:val="18"/>
                      <w:szCs w:val="18"/>
                    </w:rPr>
                  </w:pP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中小企业园三期</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150</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投产中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restart"/>
                  <w:vAlign w:val="center"/>
                </w:tcPr>
                <w:p>
                  <w:pPr>
                    <w:widowControl/>
                    <w:spacing w:line="240" w:lineRule="exact"/>
                    <w:jc w:val="center"/>
                    <w:rPr>
                      <w:rFonts w:eastAsiaTheme="minorEastAsia"/>
                      <w:kern w:val="0"/>
                      <w:sz w:val="18"/>
                      <w:szCs w:val="18"/>
                    </w:rPr>
                  </w:pPr>
                  <w:r>
                    <w:rPr>
                      <w:rFonts w:eastAsiaTheme="minorEastAsia"/>
                      <w:kern w:val="0"/>
                      <w:sz w:val="18"/>
                      <w:szCs w:val="18"/>
                    </w:rPr>
                    <w:t>南侧</w:t>
                  </w: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神墩四路</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紧邻</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25</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10m宽，双向车道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continue"/>
                  <w:vAlign w:val="center"/>
                </w:tcPr>
                <w:p>
                  <w:pPr>
                    <w:widowControl/>
                    <w:spacing w:line="240" w:lineRule="exact"/>
                    <w:jc w:val="center"/>
                    <w:rPr>
                      <w:rFonts w:eastAsiaTheme="minorEastAsia"/>
                      <w:kern w:val="0"/>
                      <w:sz w:val="18"/>
                      <w:szCs w:val="18"/>
                    </w:rPr>
                  </w:pP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空地</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35</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武汉光谷生物医药产业园发展有限公司预留用地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restart"/>
                  <w:vAlign w:val="center"/>
                </w:tcPr>
                <w:p>
                  <w:pPr>
                    <w:widowControl/>
                    <w:spacing w:line="240" w:lineRule="exact"/>
                    <w:jc w:val="center"/>
                    <w:rPr>
                      <w:rFonts w:eastAsiaTheme="minorEastAsia"/>
                      <w:kern w:val="0"/>
                      <w:sz w:val="18"/>
                      <w:szCs w:val="18"/>
                    </w:rPr>
                  </w:pPr>
                  <w:r>
                    <w:rPr>
                      <w:rFonts w:eastAsiaTheme="minorEastAsia"/>
                      <w:kern w:val="0"/>
                      <w:sz w:val="18"/>
                      <w:szCs w:val="18"/>
                    </w:rPr>
                    <w:t>西侧</w:t>
                  </w: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生物园西路</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紧邻</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155</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15m宽，双向车道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continue"/>
                  <w:vAlign w:val="center"/>
                </w:tcPr>
                <w:p>
                  <w:pPr>
                    <w:widowControl/>
                    <w:spacing w:line="240" w:lineRule="exact"/>
                    <w:jc w:val="center"/>
                    <w:rPr>
                      <w:rFonts w:eastAsiaTheme="minorEastAsia"/>
                      <w:kern w:val="0"/>
                      <w:sz w:val="18"/>
                      <w:szCs w:val="18"/>
                    </w:rPr>
                  </w:pP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桃花源小区</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225</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居民区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restart"/>
                  <w:vAlign w:val="center"/>
                </w:tcPr>
                <w:p>
                  <w:pPr>
                    <w:widowControl/>
                    <w:spacing w:line="240" w:lineRule="exact"/>
                    <w:jc w:val="center"/>
                    <w:rPr>
                      <w:rFonts w:eastAsiaTheme="minorEastAsia"/>
                      <w:kern w:val="0"/>
                      <w:sz w:val="18"/>
                      <w:szCs w:val="18"/>
                    </w:rPr>
                  </w:pPr>
                  <w:r>
                    <w:rPr>
                      <w:rFonts w:eastAsiaTheme="minorEastAsia"/>
                      <w:kern w:val="0"/>
                      <w:sz w:val="18"/>
                      <w:szCs w:val="18"/>
                    </w:rPr>
                    <w:t>北侧</w:t>
                  </w: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神墩三路</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紧邻</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150</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10m宽，双向车道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90" w:type="dxa"/>
                  <w:vMerge w:val="continue"/>
                  <w:vAlign w:val="center"/>
                </w:tcPr>
                <w:p>
                  <w:pPr>
                    <w:widowControl/>
                    <w:spacing w:line="240" w:lineRule="exact"/>
                    <w:jc w:val="center"/>
                    <w:rPr>
                      <w:rFonts w:eastAsiaTheme="minorEastAsia"/>
                      <w:kern w:val="0"/>
                      <w:sz w:val="18"/>
                      <w:szCs w:val="18"/>
                    </w:rPr>
                  </w:pPr>
                </w:p>
              </w:tc>
              <w:tc>
                <w:tcPr>
                  <w:tcW w:w="1804" w:type="dxa"/>
                  <w:vAlign w:val="center"/>
                </w:tcPr>
                <w:p>
                  <w:pPr>
                    <w:widowControl/>
                    <w:spacing w:line="240" w:lineRule="exact"/>
                    <w:jc w:val="center"/>
                    <w:rPr>
                      <w:rFonts w:eastAsiaTheme="minorEastAsia"/>
                      <w:kern w:val="0"/>
                      <w:sz w:val="18"/>
                      <w:szCs w:val="18"/>
                    </w:rPr>
                  </w:pPr>
                  <w:r>
                    <w:rPr>
                      <w:rFonts w:eastAsiaTheme="minorEastAsia"/>
                      <w:kern w:val="0"/>
                      <w:sz w:val="18"/>
                      <w:szCs w:val="18"/>
                    </w:rPr>
                    <w:t>人福医药</w:t>
                  </w:r>
                </w:p>
              </w:tc>
              <w:tc>
                <w:tcPr>
                  <w:tcW w:w="1701" w:type="dxa"/>
                  <w:vAlign w:val="center"/>
                </w:tcPr>
                <w:p>
                  <w:pPr>
                    <w:widowControl/>
                    <w:spacing w:line="240" w:lineRule="exact"/>
                    <w:jc w:val="center"/>
                    <w:rPr>
                      <w:rFonts w:eastAsiaTheme="minorEastAsia"/>
                      <w:kern w:val="0"/>
                      <w:sz w:val="18"/>
                      <w:szCs w:val="18"/>
                    </w:rPr>
                  </w:pPr>
                  <w:r>
                    <w:rPr>
                      <w:rFonts w:eastAsiaTheme="minorEastAsia"/>
                      <w:kern w:val="0"/>
                      <w:sz w:val="18"/>
                      <w:szCs w:val="18"/>
                    </w:rPr>
                    <w:t>140</w:t>
                  </w:r>
                </w:p>
              </w:tc>
              <w:tc>
                <w:tcPr>
                  <w:tcW w:w="1275" w:type="dxa"/>
                  <w:vAlign w:val="center"/>
                </w:tcPr>
                <w:p>
                  <w:pPr>
                    <w:widowControl/>
                    <w:spacing w:line="240" w:lineRule="exact"/>
                    <w:jc w:val="center"/>
                    <w:rPr>
                      <w:rFonts w:eastAsiaTheme="minorEastAsia"/>
                      <w:kern w:val="0"/>
                      <w:sz w:val="18"/>
                      <w:szCs w:val="18"/>
                    </w:rPr>
                  </w:pPr>
                  <w:r>
                    <w:rPr>
                      <w:rFonts w:eastAsiaTheme="minorEastAsia"/>
                      <w:kern w:val="0"/>
                      <w:sz w:val="18"/>
                      <w:szCs w:val="18"/>
                    </w:rPr>
                    <w:t>250</w:t>
                  </w:r>
                </w:p>
              </w:tc>
              <w:tc>
                <w:tcPr>
                  <w:tcW w:w="3116" w:type="dxa"/>
                  <w:vAlign w:val="center"/>
                </w:tcPr>
                <w:p>
                  <w:pPr>
                    <w:widowControl/>
                    <w:spacing w:line="240" w:lineRule="exact"/>
                    <w:jc w:val="center"/>
                    <w:rPr>
                      <w:rFonts w:eastAsiaTheme="minorEastAsia"/>
                      <w:kern w:val="0"/>
                      <w:sz w:val="18"/>
                      <w:szCs w:val="18"/>
                    </w:rPr>
                  </w:pPr>
                  <w:r>
                    <w:rPr>
                      <w:rFonts w:eastAsiaTheme="minorEastAsia"/>
                      <w:kern w:val="0"/>
                      <w:sz w:val="18"/>
                      <w:szCs w:val="18"/>
                    </w:rPr>
                    <w:t>投产中</w:t>
                  </w:r>
                </w:p>
              </w:tc>
            </w:tr>
          </w:tbl>
          <w:tbl>
            <w:tblPr>
              <w:tblStyle w:val="29"/>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2"/>
              <w:gridCol w:w="42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jc w:val="center"/>
              </w:trPr>
              <w:tc>
                <w:tcPr>
                  <w:tcW w:w="4535" w:type="dxa"/>
                  <w:tcBorders>
                    <w:tl2br w:val="nil"/>
                    <w:tr2bl w:val="nil"/>
                  </w:tcBorders>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drawing>
                      <wp:inline distT="0" distB="0" distL="114300" distR="114300">
                        <wp:extent cx="2187575" cy="1433195"/>
                        <wp:effectExtent l="0" t="0" r="3175" b="14605"/>
                        <wp:docPr id="1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pic:cNvPicPr>
                                  <a:picLocks noChangeAspect="1"/>
                                </pic:cNvPicPr>
                              </pic:nvPicPr>
                              <pic:blipFill>
                                <a:blip r:embed="rId8"/>
                                <a:srcRect l="-653" t="236" r="-624" b="236"/>
                                <a:stretch>
                                  <a:fillRect/>
                                </a:stretch>
                              </pic:blipFill>
                              <pic:spPr>
                                <a:xfrm>
                                  <a:off x="0" y="0"/>
                                  <a:ext cx="2187575" cy="1433195"/>
                                </a:xfrm>
                                <a:prstGeom prst="rect">
                                  <a:avLst/>
                                </a:prstGeom>
                                <a:noFill/>
                                <a:ln>
                                  <a:noFill/>
                                </a:ln>
                              </pic:spPr>
                            </pic:pic>
                          </a:graphicData>
                        </a:graphic>
                      </wp:inline>
                    </w:drawing>
                  </w:r>
                </w:p>
              </w:tc>
              <w:tc>
                <w:tcPr>
                  <w:tcW w:w="4536" w:type="dxa"/>
                  <w:tcBorders>
                    <w:tl2br w:val="nil"/>
                    <w:tr2bl w:val="nil"/>
                  </w:tcBorders>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drawing>
                      <wp:inline distT="0" distB="0" distL="114300" distR="114300">
                        <wp:extent cx="2160270" cy="1454785"/>
                        <wp:effectExtent l="0" t="0" r="11430" b="12065"/>
                        <wp:docPr id="1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
                                <pic:cNvPicPr>
                                  <a:picLocks noChangeAspect="1"/>
                                </pic:cNvPicPr>
                              </pic:nvPicPr>
                              <pic:blipFill>
                                <a:blip r:embed="rId9"/>
                                <a:srcRect l="993" t="-3013" r="-1006" b="1987"/>
                                <a:stretch>
                                  <a:fillRect/>
                                </a:stretch>
                              </pic:blipFill>
                              <pic:spPr>
                                <a:xfrm>
                                  <a:off x="0" y="0"/>
                                  <a:ext cx="2160270" cy="14547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 w:hRule="atLeast"/>
                <w:jc w:val="center"/>
              </w:trPr>
              <w:tc>
                <w:tcPr>
                  <w:tcW w:w="9071" w:type="dxa"/>
                  <w:gridSpan w:val="2"/>
                  <w:tcBorders>
                    <w:tl2br w:val="nil"/>
                    <w:tr2bl w:val="nil"/>
                  </w:tcBorders>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园区绿化</w:t>
                  </w:r>
                  <w:r>
                    <w:rPr>
                      <w:rFonts w:hint="eastAsia" w:eastAsia="黑体"/>
                      <w:color w:val="000000" w:themeColor="text1"/>
                      <w:sz w:val="18"/>
                      <w:szCs w:val="18"/>
                      <w14:textFill>
                        <w14:solidFill>
                          <w14:schemeClr w14:val="tx1"/>
                        </w14:solidFill>
                      </w14:textFill>
                    </w:rPr>
                    <w:t>实景</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图2-2 项目园区绿化</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2.3.3项目</w:t>
            </w:r>
            <w:r>
              <w:rPr>
                <w:rFonts w:eastAsia="黑体"/>
                <w:bCs/>
                <w:color w:val="000000" w:themeColor="text1"/>
                <w:sz w:val="24"/>
                <w:szCs w:val="28"/>
                <w14:textFill>
                  <w14:solidFill>
                    <w14:schemeClr w14:val="tx1"/>
                  </w14:solidFill>
                </w14:textFill>
              </w:rPr>
              <w:t>平面布置</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二层药品存放间（1间）、称量间（3间）、洗涤灭菌干燥间（1间）、试剂研发生产间（2间）、试剂配液间（2间）、研发实验室（1间）、质检实验室（1间）、压缩空气制备间（1间）、预料处理间（1间）、灭菌干燥间（1间）、干粉培养基研发生产间（2间）、试剂灌装间（1间）、冷库（2间）、空调机房（1间）、贴标间（1间）、包装间（1间）、试剂成品库房（1间）、耗材仓库（1间）。其余区域为办公区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五层设置细胞培养间（5间）、试剂配液间（1间）、试剂研发间（2间）、危废暂存间（1间）、洗消干燥间（1间）、培养基库房（1间）、中央实验室（1间）、细胞冷冻间（1间）、物料仓库（1间）、外包间（1间）、内包间（1间）。其余区域为办公区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项目在平面设置上做到人流与物流分离、实验区与办公区分开。</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平面布置见</w:t>
            </w:r>
            <w:r>
              <w:rPr>
                <w:sz w:val="24"/>
              </w:rPr>
              <w:t>附图</w:t>
            </w:r>
            <w:r>
              <w:rPr>
                <w:rFonts w:hint="eastAsia"/>
                <w:sz w:val="24"/>
              </w:rPr>
              <w:t>4-1、附图4-2</w:t>
            </w:r>
            <w:r>
              <w:rPr>
                <w:color w:val="000000" w:themeColor="text1"/>
                <w:sz w:val="24"/>
                <w14:textFill>
                  <w14:solidFill>
                    <w14:schemeClr w14:val="tx1"/>
                  </w14:solidFill>
                </w14:textFill>
              </w:rPr>
              <w:t>。</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2.4项目规模及建筑内容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sz w:val="24"/>
              </w:rPr>
              <w:t>租用</w:t>
            </w:r>
            <w:r>
              <w:rPr>
                <w:kern w:val="0"/>
                <w:sz w:val="24"/>
              </w:rPr>
              <w:t>武汉市东湖高新技术开发区高新大道858号光谷生物城生物医药园中试区C4栋二层、五层</w:t>
            </w:r>
            <w:r>
              <w:rPr>
                <w:sz w:val="24"/>
              </w:rPr>
              <w:t>实施新型无血清培养基研发项目二期，项目主要建设内容见表2-2，项目主要设备仪器见表2-3。</w:t>
            </w:r>
          </w:p>
          <w:p>
            <w:pPr>
              <w:ind w:firstLine="420" w:firstLineChars="200"/>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表2-2 项目主要建设内容一览表</w:t>
            </w:r>
          </w:p>
          <w:tbl>
            <w:tblPr>
              <w:tblStyle w:val="28"/>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666"/>
              <w:gridCol w:w="992"/>
              <w:gridCol w:w="2694"/>
              <w:gridCol w:w="2637"/>
              <w:gridCol w:w="1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tcBorders>
                    <w:bottom w:val="single" w:color="auto" w:sz="12" w:space="0"/>
                  </w:tcBorders>
                  <w:vAlign w:val="center"/>
                </w:tcPr>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序号</w:t>
                  </w:r>
                </w:p>
              </w:tc>
              <w:tc>
                <w:tcPr>
                  <w:tcW w:w="666" w:type="dxa"/>
                  <w:tcBorders>
                    <w:bottom w:val="single" w:color="auto" w:sz="12" w:space="0"/>
                  </w:tcBorders>
                  <w:vAlign w:val="center"/>
                </w:tcPr>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工程</w:t>
                  </w:r>
                </w:p>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类别</w:t>
                  </w:r>
                </w:p>
              </w:tc>
              <w:tc>
                <w:tcPr>
                  <w:tcW w:w="992" w:type="dxa"/>
                  <w:tcBorders>
                    <w:bottom w:val="single" w:color="auto" w:sz="12" w:space="0"/>
                  </w:tcBorders>
                  <w:vAlign w:val="center"/>
                </w:tcPr>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名称</w:t>
                  </w:r>
                </w:p>
              </w:tc>
              <w:tc>
                <w:tcPr>
                  <w:tcW w:w="2694" w:type="dxa"/>
                  <w:tcBorders>
                    <w:bottom w:val="single" w:color="auto" w:sz="12" w:space="0"/>
                  </w:tcBorders>
                  <w:vAlign w:val="center"/>
                </w:tcPr>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环评建设内容</w:t>
                  </w:r>
                </w:p>
              </w:tc>
              <w:tc>
                <w:tcPr>
                  <w:tcW w:w="2637" w:type="dxa"/>
                  <w:tcBorders>
                    <w:bottom w:val="single" w:color="auto" w:sz="12" w:space="0"/>
                  </w:tcBorders>
                  <w:vAlign w:val="center"/>
                </w:tcPr>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实际建设内容</w:t>
                  </w:r>
                </w:p>
              </w:tc>
              <w:tc>
                <w:tcPr>
                  <w:tcW w:w="1471" w:type="dxa"/>
                  <w:tcBorders>
                    <w:bottom w:val="single" w:color="auto" w:sz="12" w:space="0"/>
                  </w:tcBorders>
                  <w:vAlign w:val="center"/>
                </w:tcPr>
                <w:p>
                  <w:pPr>
                    <w:widowControl/>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变更情况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dxa"/>
                  <w:tcBorders>
                    <w:top w:val="single" w:color="auto" w:sz="12" w:space="0"/>
                  </w:tcBorders>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666" w:type="dxa"/>
                  <w:vMerge w:val="restart"/>
                  <w:tcBorders>
                    <w:top w:val="single" w:color="auto" w:sz="12" w:space="0"/>
                  </w:tcBorders>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主体工程</w:t>
                  </w:r>
                </w:p>
              </w:tc>
              <w:tc>
                <w:tcPr>
                  <w:tcW w:w="992" w:type="dxa"/>
                  <w:tcBorders>
                    <w:top w:val="single" w:color="auto" w:sz="12" w:space="0"/>
                  </w:tcBorders>
                  <w:vAlign w:val="center"/>
                </w:tcPr>
                <w:p>
                  <w:pPr>
                    <w:spacing w:line="240" w:lineRule="exact"/>
                    <w:jc w:val="center"/>
                    <w:rPr>
                      <w:color w:val="000000" w:themeColor="text1"/>
                      <w:kern w:val="0"/>
                      <w:sz w:val="18"/>
                      <w:szCs w:val="18"/>
                      <w14:textFill>
                        <w14:solidFill>
                          <w14:schemeClr w14:val="tx1"/>
                        </w14:solidFill>
                      </w14:textFill>
                    </w:rPr>
                  </w:pPr>
                  <w:r>
                    <w:rPr>
                      <w:sz w:val="18"/>
                      <w:szCs w:val="18"/>
                    </w:rPr>
                    <w:t>2层</w:t>
                  </w:r>
                </w:p>
              </w:tc>
              <w:tc>
                <w:tcPr>
                  <w:tcW w:w="2694" w:type="dxa"/>
                  <w:tcBorders>
                    <w:top w:val="single" w:color="auto" w:sz="12" w:space="0"/>
                  </w:tcBorders>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面积约989.18m</w:t>
                  </w:r>
                  <w:r>
                    <w:rPr>
                      <w:bCs/>
                      <w:sz w:val="18"/>
                      <w:szCs w:val="18"/>
                      <w:vertAlign w:val="superscript"/>
                    </w:rPr>
                    <w:t>2</w:t>
                  </w:r>
                  <w:r>
                    <w:rPr>
                      <w:bCs/>
                      <w:sz w:val="18"/>
                      <w:szCs w:val="18"/>
                    </w:rPr>
                    <w:t>，主要包括办公室、试剂仓库、更衣室、配电间、实验区域</w:t>
                  </w:r>
                </w:p>
              </w:tc>
              <w:tc>
                <w:tcPr>
                  <w:tcW w:w="2637" w:type="dxa"/>
                  <w:tcBorders>
                    <w:top w:val="single" w:color="auto" w:sz="12" w:space="0"/>
                  </w:tcBorders>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面积约989.18m</w:t>
                  </w:r>
                  <w:r>
                    <w:rPr>
                      <w:bCs/>
                      <w:sz w:val="18"/>
                      <w:szCs w:val="18"/>
                      <w:vertAlign w:val="superscript"/>
                    </w:rPr>
                    <w:t>2</w:t>
                  </w:r>
                  <w:r>
                    <w:rPr>
                      <w:bCs/>
                      <w:sz w:val="18"/>
                      <w:szCs w:val="18"/>
                    </w:rPr>
                    <w:t>，主要包括办公室、试剂仓库、更衣室、配电间、实验区域</w:t>
                  </w:r>
                </w:p>
              </w:tc>
              <w:tc>
                <w:tcPr>
                  <w:tcW w:w="1471" w:type="dxa"/>
                  <w:tcBorders>
                    <w:top w:val="single" w:color="auto" w:sz="12" w:space="0"/>
                  </w:tcBorders>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w:t>
                  </w:r>
                </w:p>
              </w:tc>
              <w:tc>
                <w:tcPr>
                  <w:tcW w:w="666" w:type="dxa"/>
                  <w:vMerge w:val="continue"/>
                  <w:vAlign w:val="center"/>
                </w:tcPr>
                <w:p>
                  <w:pPr>
                    <w:widowControl/>
                    <w:jc w:val="center"/>
                    <w:rPr>
                      <w:color w:val="000000" w:themeColor="text1"/>
                      <w:kern w:val="0"/>
                      <w:sz w:val="18"/>
                      <w:szCs w:val="18"/>
                      <w14:textFill>
                        <w14:solidFill>
                          <w14:schemeClr w14:val="tx1"/>
                        </w14:solidFill>
                      </w14:textFill>
                    </w:rPr>
                  </w:pPr>
                </w:p>
              </w:tc>
              <w:tc>
                <w:tcPr>
                  <w:tcW w:w="992" w:type="dxa"/>
                  <w:vAlign w:val="center"/>
                </w:tcPr>
                <w:p>
                  <w:pPr>
                    <w:spacing w:line="240" w:lineRule="exact"/>
                    <w:jc w:val="center"/>
                    <w:rPr>
                      <w:color w:val="000000" w:themeColor="text1"/>
                      <w:kern w:val="0"/>
                      <w:sz w:val="18"/>
                      <w:szCs w:val="18"/>
                      <w14:textFill>
                        <w14:solidFill>
                          <w14:schemeClr w14:val="tx1"/>
                        </w14:solidFill>
                      </w14:textFill>
                    </w:rPr>
                  </w:pPr>
                  <w:r>
                    <w:rPr>
                      <w:sz w:val="18"/>
                      <w:szCs w:val="18"/>
                    </w:rPr>
                    <w:t>5层</w:t>
                  </w:r>
                </w:p>
              </w:tc>
              <w:tc>
                <w:tcPr>
                  <w:tcW w:w="2694" w:type="dxa"/>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面积约989.18m</w:t>
                  </w:r>
                  <w:r>
                    <w:rPr>
                      <w:bCs/>
                      <w:sz w:val="18"/>
                      <w:szCs w:val="18"/>
                      <w:vertAlign w:val="superscript"/>
                    </w:rPr>
                    <w:t>2</w:t>
                  </w:r>
                  <w:r>
                    <w:rPr>
                      <w:bCs/>
                      <w:sz w:val="18"/>
                      <w:szCs w:val="18"/>
                    </w:rPr>
                    <w:t>，主要包括办公室、试剂仓库、更衣室、配电间、细胞培养间、实验区域</w:t>
                  </w:r>
                </w:p>
              </w:tc>
              <w:tc>
                <w:tcPr>
                  <w:tcW w:w="2637" w:type="dxa"/>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面积约989.18m</w:t>
                  </w:r>
                  <w:r>
                    <w:rPr>
                      <w:bCs/>
                      <w:sz w:val="18"/>
                      <w:szCs w:val="18"/>
                      <w:vertAlign w:val="superscript"/>
                    </w:rPr>
                    <w:t>2</w:t>
                  </w:r>
                  <w:r>
                    <w:rPr>
                      <w:bCs/>
                      <w:sz w:val="18"/>
                      <w:szCs w:val="18"/>
                    </w:rPr>
                    <w:t>，主要包括办公室、试剂仓库、更衣室、配电间、细胞培养间、实验区域</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3</w:t>
                  </w:r>
                </w:p>
              </w:tc>
              <w:tc>
                <w:tcPr>
                  <w:tcW w:w="666" w:type="dxa"/>
                  <w:vMerge w:val="restart"/>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公辅工程</w:t>
                  </w:r>
                </w:p>
              </w:tc>
              <w:tc>
                <w:tcPr>
                  <w:tcW w:w="992" w:type="dxa"/>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供电系统</w:t>
                  </w:r>
                </w:p>
              </w:tc>
              <w:tc>
                <w:tcPr>
                  <w:tcW w:w="2694" w:type="dxa"/>
                  <w:vAlign w:val="center"/>
                </w:tcPr>
                <w:p>
                  <w:pPr>
                    <w:spacing w:line="240" w:lineRule="exact"/>
                    <w:jc w:val="center"/>
                    <w:rPr>
                      <w:b/>
                      <w:color w:val="000000" w:themeColor="text1"/>
                      <w:kern w:val="0"/>
                      <w:sz w:val="18"/>
                      <w:szCs w:val="18"/>
                      <w14:textFill>
                        <w14:solidFill>
                          <w14:schemeClr w14:val="tx1"/>
                        </w14:solidFill>
                      </w14:textFill>
                    </w:rPr>
                  </w:pPr>
                  <w:r>
                    <w:rPr>
                      <w:bCs/>
                      <w:sz w:val="18"/>
                      <w:szCs w:val="18"/>
                    </w:rPr>
                    <w:t>项目供电由高新区电力系统供给，项目所在园区已通电，项目用电直接接入即可</w:t>
                  </w:r>
                </w:p>
              </w:tc>
              <w:tc>
                <w:tcPr>
                  <w:tcW w:w="2637" w:type="dxa"/>
                  <w:vAlign w:val="center"/>
                </w:tcPr>
                <w:p>
                  <w:pPr>
                    <w:widowControl/>
                    <w:jc w:val="center"/>
                    <w:rPr>
                      <w:color w:val="000000" w:themeColor="text1"/>
                      <w:kern w:val="0"/>
                      <w:sz w:val="18"/>
                      <w:szCs w:val="18"/>
                      <w14:textFill>
                        <w14:solidFill>
                          <w14:schemeClr w14:val="tx1"/>
                        </w14:solidFill>
                      </w14:textFill>
                    </w:rPr>
                  </w:pPr>
                  <w:r>
                    <w:rPr>
                      <w:bCs/>
                      <w:sz w:val="18"/>
                      <w:szCs w:val="18"/>
                    </w:rPr>
                    <w:t>项目供电由高新区电力系统供给</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4</w:t>
                  </w:r>
                </w:p>
              </w:tc>
              <w:tc>
                <w:tcPr>
                  <w:tcW w:w="666" w:type="dxa"/>
                  <w:vMerge w:val="continue"/>
                  <w:vAlign w:val="center"/>
                </w:tcPr>
                <w:p>
                  <w:pPr>
                    <w:widowControl/>
                    <w:jc w:val="center"/>
                    <w:rPr>
                      <w:color w:val="000000" w:themeColor="text1"/>
                      <w:kern w:val="0"/>
                      <w:sz w:val="18"/>
                      <w:szCs w:val="18"/>
                      <w14:textFill>
                        <w14:solidFill>
                          <w14:schemeClr w14:val="tx1"/>
                        </w14:solidFill>
                      </w14:textFill>
                    </w:rPr>
                  </w:pPr>
                </w:p>
              </w:tc>
              <w:tc>
                <w:tcPr>
                  <w:tcW w:w="992" w:type="dxa"/>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给水系统</w:t>
                  </w:r>
                </w:p>
              </w:tc>
              <w:tc>
                <w:tcPr>
                  <w:tcW w:w="2694" w:type="dxa"/>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项目水源由城市给水管网直接供给</w:t>
                  </w:r>
                </w:p>
              </w:tc>
              <w:tc>
                <w:tcPr>
                  <w:tcW w:w="2637" w:type="dxa"/>
                  <w:vAlign w:val="center"/>
                </w:tcPr>
                <w:p>
                  <w:pPr>
                    <w:widowControl/>
                    <w:jc w:val="center"/>
                    <w:rPr>
                      <w:color w:val="000000" w:themeColor="text1"/>
                      <w:kern w:val="0"/>
                      <w:sz w:val="18"/>
                      <w:szCs w:val="18"/>
                      <w14:textFill>
                        <w14:solidFill>
                          <w14:schemeClr w14:val="tx1"/>
                        </w14:solidFill>
                      </w14:textFill>
                    </w:rPr>
                  </w:pPr>
                  <w:r>
                    <w:rPr>
                      <w:bCs/>
                      <w:sz w:val="18"/>
                      <w:szCs w:val="18"/>
                    </w:rPr>
                    <w:t>项目水源由城市给水管网直接供给</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w:t>
                  </w:r>
                </w:p>
              </w:tc>
              <w:tc>
                <w:tcPr>
                  <w:tcW w:w="666" w:type="dxa"/>
                  <w:vMerge w:val="continue"/>
                  <w:vAlign w:val="center"/>
                </w:tcPr>
                <w:p>
                  <w:pPr>
                    <w:widowControl/>
                    <w:jc w:val="center"/>
                    <w:rPr>
                      <w:color w:val="000000" w:themeColor="text1"/>
                      <w:kern w:val="0"/>
                      <w:sz w:val="18"/>
                      <w:szCs w:val="18"/>
                      <w14:textFill>
                        <w14:solidFill>
                          <w14:schemeClr w14:val="tx1"/>
                        </w14:solidFill>
                      </w14:textFill>
                    </w:rPr>
                  </w:pPr>
                </w:p>
              </w:tc>
              <w:tc>
                <w:tcPr>
                  <w:tcW w:w="992" w:type="dxa"/>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排水系统</w:t>
                  </w:r>
                </w:p>
              </w:tc>
              <w:tc>
                <w:tcPr>
                  <w:tcW w:w="2694" w:type="dxa"/>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项目所在园区采用雨污分流制，雨水排水经园区雨水管网排入市政雨水管网。项目生活污水与研发废水（主要为地面清洗废水、器皿(经高压灭菌后)清洗废水、工衣清洗废水和纯水制备过程中产生的浓水）经C4栋内排水管网排入园区内化粪池处理后，再进入园区污水处理站处理</w:t>
                  </w:r>
                </w:p>
              </w:tc>
              <w:tc>
                <w:tcPr>
                  <w:tcW w:w="2637"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项目所在园区采用雨污分流制，雨水排水经园区雨水管网排入市政雨水管网。项目生活污水与研发废水（主要为地面清洗废水、器皿(经高压灭菌后)清洗废水、工衣清洗废水和纯水制备过程中产生的浓水）经C4栋内排水管网排入园区内化粪池处理后，再进入园区污水处理站处理。</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w:t>
                  </w:r>
                </w:p>
              </w:tc>
              <w:tc>
                <w:tcPr>
                  <w:tcW w:w="666" w:type="dxa"/>
                  <w:vMerge w:val="continue"/>
                  <w:vAlign w:val="center"/>
                </w:tcPr>
                <w:p>
                  <w:pPr>
                    <w:widowControl/>
                    <w:jc w:val="center"/>
                    <w:rPr>
                      <w:color w:val="000000" w:themeColor="text1"/>
                      <w:kern w:val="0"/>
                      <w:sz w:val="18"/>
                      <w:szCs w:val="18"/>
                      <w14:textFill>
                        <w14:solidFill>
                          <w14:schemeClr w14:val="tx1"/>
                        </w14:solidFill>
                      </w14:textFill>
                    </w:rPr>
                  </w:pPr>
                </w:p>
              </w:tc>
              <w:tc>
                <w:tcPr>
                  <w:tcW w:w="992" w:type="dxa"/>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暖通系统</w:t>
                  </w:r>
                </w:p>
              </w:tc>
              <w:tc>
                <w:tcPr>
                  <w:tcW w:w="2694" w:type="dxa"/>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项目拟安装中央空调</w:t>
                  </w:r>
                </w:p>
              </w:tc>
              <w:tc>
                <w:tcPr>
                  <w:tcW w:w="2637" w:type="dxa"/>
                  <w:vAlign w:val="center"/>
                </w:tcPr>
                <w:p>
                  <w:pPr>
                    <w:widowControl/>
                    <w:jc w:val="center"/>
                    <w:rPr>
                      <w:color w:val="000000" w:themeColor="text1"/>
                      <w:kern w:val="0"/>
                      <w:sz w:val="18"/>
                      <w:szCs w:val="18"/>
                      <w14:textFill>
                        <w14:solidFill>
                          <w14:schemeClr w14:val="tx1"/>
                        </w14:solidFill>
                      </w14:textFill>
                    </w:rPr>
                  </w:pPr>
                  <w:r>
                    <w:rPr>
                      <w:rFonts w:hint="eastAsia"/>
                      <w:bCs/>
                      <w:sz w:val="18"/>
                      <w:szCs w:val="18"/>
                    </w:rPr>
                    <w:t>项目已</w:t>
                  </w:r>
                  <w:r>
                    <w:rPr>
                      <w:bCs/>
                      <w:sz w:val="18"/>
                      <w:szCs w:val="18"/>
                    </w:rPr>
                    <w:t>安装中央空调</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w:t>
                  </w:r>
                </w:p>
              </w:tc>
              <w:tc>
                <w:tcPr>
                  <w:tcW w:w="666" w:type="dxa"/>
                  <w:vMerge w:val="restar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环保工程</w:t>
                  </w:r>
                </w:p>
              </w:tc>
              <w:tc>
                <w:tcPr>
                  <w:tcW w:w="992" w:type="dxa"/>
                  <w:shd w:val="clear" w:color="auto" w:fill="auto"/>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废水</w:t>
                  </w:r>
                </w:p>
              </w:tc>
              <w:tc>
                <w:tcPr>
                  <w:tcW w:w="2694" w:type="dxa"/>
                  <w:shd w:val="clear" w:color="auto" w:fill="auto"/>
                  <w:vAlign w:val="center"/>
                </w:tcPr>
                <w:p>
                  <w:pPr>
                    <w:spacing w:line="240" w:lineRule="exact"/>
                    <w:rPr>
                      <w:bCs/>
                      <w:sz w:val="18"/>
                      <w:szCs w:val="18"/>
                    </w:rPr>
                  </w:pPr>
                  <w:r>
                    <w:rPr>
                      <w:bCs/>
                      <w:sz w:val="18"/>
                      <w:szCs w:val="18"/>
                    </w:rPr>
                    <w:t>项目所在园区采用雨污分流制，雨、污水分别排入雨、污水管网。</w:t>
                  </w:r>
                </w:p>
                <w:p>
                  <w:pPr>
                    <w:spacing w:line="240" w:lineRule="exact"/>
                    <w:rPr>
                      <w:bCs/>
                      <w:sz w:val="18"/>
                      <w:szCs w:val="18"/>
                    </w:rPr>
                  </w:pPr>
                  <w:r>
                    <w:rPr>
                      <w:bCs/>
                      <w:sz w:val="18"/>
                      <w:szCs w:val="18"/>
                    </w:rPr>
                    <w:t>项目研发工序产生的各类研发废水包括：器皿（经高压灭菌后）清洗废水、地面清洗废水、工衣清洗废水、研发废水和纯水制备过程中产生的浓水。</w:t>
                  </w:r>
                </w:p>
                <w:p>
                  <w:pPr>
                    <w:spacing w:line="240" w:lineRule="exact"/>
                    <w:rPr>
                      <w:bCs/>
                      <w:sz w:val="18"/>
                      <w:szCs w:val="18"/>
                    </w:rPr>
                  </w:pPr>
                  <w:r>
                    <w:rPr>
                      <w:bCs/>
                      <w:sz w:val="18"/>
                      <w:szCs w:val="18"/>
                    </w:rPr>
                    <w:t>生活污水包括：研发办公人员生活污水。</w:t>
                  </w:r>
                </w:p>
                <w:p>
                  <w:pPr>
                    <w:spacing w:line="240" w:lineRule="exact"/>
                    <w:rPr>
                      <w:color w:val="000000" w:themeColor="text1"/>
                      <w:kern w:val="0"/>
                      <w:sz w:val="18"/>
                      <w:szCs w:val="18"/>
                      <w14:textFill>
                        <w14:solidFill>
                          <w14:schemeClr w14:val="tx1"/>
                        </w14:solidFill>
                      </w14:textFill>
                    </w:rPr>
                  </w:pPr>
                  <w:r>
                    <w:rPr>
                      <w:bCs/>
                      <w:sz w:val="18"/>
                      <w:szCs w:val="18"/>
                    </w:rPr>
                    <w:t>经C4栋内排水管网，进入楼栋配套化粪池预处理后排入园区内污水管网，进入园区污水处理站进一步处理。</w:t>
                  </w:r>
                </w:p>
              </w:tc>
              <w:tc>
                <w:tcPr>
                  <w:tcW w:w="2637" w:type="dxa"/>
                  <w:shd w:val="clear" w:color="auto" w:fill="auto"/>
                  <w:vAlign w:val="center"/>
                </w:tcPr>
                <w:p>
                  <w:pPr>
                    <w:spacing w:line="240" w:lineRule="exact"/>
                    <w:rPr>
                      <w:bCs/>
                      <w:sz w:val="18"/>
                      <w:szCs w:val="18"/>
                    </w:rPr>
                  </w:pPr>
                  <w:r>
                    <w:rPr>
                      <w:bCs/>
                      <w:sz w:val="18"/>
                      <w:szCs w:val="18"/>
                    </w:rPr>
                    <w:t>项目所在园区采用雨污分流制，雨、污水分别排入雨、污水管网。经C4栋内排水管网，进入楼栋配套化粪池预处理后排入园区内污水管网，进入园区污水处理站进一步处理。</w:t>
                  </w:r>
                </w:p>
                <w:p>
                  <w:pPr>
                    <w:widowControl/>
                    <w:jc w:val="center"/>
                    <w:rPr>
                      <w:color w:val="000000" w:themeColor="text1"/>
                      <w:kern w:val="0"/>
                      <w:sz w:val="18"/>
                      <w:szCs w:val="18"/>
                      <w14:textFill>
                        <w14:solidFill>
                          <w14:schemeClr w14:val="tx1"/>
                        </w14:solidFill>
                      </w14:textFill>
                    </w:rPr>
                  </w:pPr>
                </w:p>
              </w:tc>
              <w:tc>
                <w:tcPr>
                  <w:tcW w:w="1471" w:type="dxa"/>
                  <w:shd w:val="clear" w:color="auto" w:fill="auto"/>
                  <w:vAlign w:val="center"/>
                </w:tcPr>
                <w:p>
                  <w:pPr>
                    <w:widowControl/>
                    <w:jc w:val="center"/>
                    <w:rPr>
                      <w:color w:val="000000" w:themeColor="text1"/>
                      <w:kern w:val="0"/>
                      <w:sz w:val="18"/>
                      <w:szCs w:val="18"/>
                      <w:highlight w:val="yellow"/>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8</w:t>
                  </w:r>
                </w:p>
              </w:tc>
              <w:tc>
                <w:tcPr>
                  <w:tcW w:w="666" w:type="dxa"/>
                  <w:vMerge w:val="continue"/>
                  <w:shd w:val="clear" w:color="auto" w:fill="auto"/>
                  <w:vAlign w:val="center"/>
                </w:tcPr>
                <w:p>
                  <w:pPr>
                    <w:widowControl/>
                    <w:jc w:val="center"/>
                    <w:rPr>
                      <w:color w:val="000000" w:themeColor="text1"/>
                      <w:kern w:val="0"/>
                      <w:sz w:val="18"/>
                      <w:szCs w:val="18"/>
                      <w14:textFill>
                        <w14:solidFill>
                          <w14:schemeClr w14:val="tx1"/>
                        </w14:solidFill>
                      </w14:textFill>
                    </w:rPr>
                  </w:pPr>
                </w:p>
              </w:tc>
              <w:tc>
                <w:tcPr>
                  <w:tcW w:w="992" w:type="dxa"/>
                  <w:shd w:val="clear" w:color="auto" w:fill="auto"/>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废气</w:t>
                  </w:r>
                </w:p>
              </w:tc>
              <w:tc>
                <w:tcPr>
                  <w:tcW w:w="2694" w:type="dxa"/>
                  <w:shd w:val="clear" w:color="auto" w:fill="auto"/>
                  <w:vAlign w:val="center"/>
                </w:tcPr>
                <w:p>
                  <w:pPr>
                    <w:spacing w:line="240" w:lineRule="exact"/>
                    <w:jc w:val="center"/>
                    <w:rPr>
                      <w:color w:val="000000" w:themeColor="text1"/>
                      <w:kern w:val="0"/>
                      <w:sz w:val="18"/>
                      <w:szCs w:val="18"/>
                      <w14:textFill>
                        <w14:solidFill>
                          <w14:schemeClr w14:val="tx1"/>
                        </w14:solidFill>
                      </w14:textFill>
                    </w:rPr>
                  </w:pPr>
                  <w:r>
                    <w:rPr>
                      <w:kern w:val="0"/>
                      <w:sz w:val="18"/>
                      <w:szCs w:val="22"/>
                    </w:rPr>
                    <w:t>二层、五层实验室内设置通风柜，</w:t>
                  </w:r>
                  <w:r>
                    <w:rPr>
                      <w:sz w:val="18"/>
                      <w:szCs w:val="18"/>
                    </w:rPr>
                    <w:t>涉及有机溶剂工序均在5层试剂配液间进行，通风柜收集后经废气收集管网至楼顶经活性炭吸附装置处理后经20m高排气筒排放，排气筒编号：DA001。</w:t>
                  </w:r>
                </w:p>
              </w:tc>
              <w:tc>
                <w:tcPr>
                  <w:tcW w:w="2637" w:type="dxa"/>
                  <w:shd w:val="clear" w:color="auto" w:fill="auto"/>
                  <w:vAlign w:val="center"/>
                </w:tcPr>
                <w:p>
                  <w:pPr>
                    <w:adjustRightInd w:val="0"/>
                    <w:snapToGrid w:val="0"/>
                    <w:spacing w:line="240" w:lineRule="exact"/>
                    <w:jc w:val="center"/>
                    <w:rPr>
                      <w:color w:val="000000" w:themeColor="text1"/>
                      <w:kern w:val="0"/>
                      <w:sz w:val="18"/>
                      <w:szCs w:val="18"/>
                      <w14:textFill>
                        <w14:solidFill>
                          <w14:schemeClr w14:val="tx1"/>
                        </w14:solidFill>
                      </w14:textFill>
                    </w:rPr>
                  </w:pPr>
                  <w:r>
                    <w:rPr>
                      <w:kern w:val="0"/>
                      <w:sz w:val="18"/>
                      <w:szCs w:val="22"/>
                    </w:rPr>
                    <w:t>二层、五层实验室内设置通风柜，</w:t>
                  </w:r>
                  <w:r>
                    <w:rPr>
                      <w:sz w:val="18"/>
                      <w:szCs w:val="18"/>
                    </w:rPr>
                    <w:t>涉及有机溶剂工序均在5层试剂配液间进行，通风柜收集后经废气收集管网至楼顶经活性炭吸附装置处理后经</w:t>
                  </w:r>
                  <w:r>
                    <w:rPr>
                      <w:rFonts w:hint="eastAsia"/>
                      <w:sz w:val="18"/>
                      <w:szCs w:val="18"/>
                    </w:rPr>
                    <w:t>28</w:t>
                  </w:r>
                  <w:r>
                    <w:rPr>
                      <w:sz w:val="18"/>
                      <w:szCs w:val="18"/>
                    </w:rPr>
                    <w:t>m高排气筒排放，排气筒编号：DA001</w:t>
                  </w:r>
                </w:p>
              </w:tc>
              <w:tc>
                <w:tcPr>
                  <w:tcW w:w="1471" w:type="dxa"/>
                  <w:shd w:val="clear" w:color="auto" w:fill="auto"/>
                  <w:vAlign w:val="center"/>
                </w:tcPr>
                <w:p>
                  <w:pPr>
                    <w:widowControl/>
                    <w:jc w:val="center"/>
                    <w:rPr>
                      <w:color w:val="000000" w:themeColor="text1"/>
                      <w:kern w:val="0"/>
                      <w:sz w:val="18"/>
                      <w:szCs w:val="18"/>
                      <w:highlight w:val="yellow"/>
                      <w14:textFill>
                        <w14:solidFill>
                          <w14:schemeClr w14:val="tx1"/>
                        </w14:solidFill>
                      </w14:textFill>
                    </w:rPr>
                  </w:pPr>
                  <w:r>
                    <w:rPr>
                      <w:rFonts w:hint="eastAsia"/>
                      <w:color w:val="000000" w:themeColor="text1"/>
                      <w:kern w:val="0"/>
                      <w:sz w:val="18"/>
                      <w:szCs w:val="18"/>
                      <w14:textFill>
                        <w14:solidFill>
                          <w14:schemeClr w14:val="tx1"/>
                        </w14:solidFill>
                      </w14:textFill>
                    </w:rPr>
                    <w:t>排气筒高度增加8米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9</w:t>
                  </w:r>
                </w:p>
              </w:tc>
              <w:tc>
                <w:tcPr>
                  <w:tcW w:w="666" w:type="dxa"/>
                  <w:vMerge w:val="continue"/>
                  <w:shd w:val="clear" w:color="auto" w:fill="auto"/>
                  <w:vAlign w:val="center"/>
                </w:tcPr>
                <w:p>
                  <w:pPr>
                    <w:widowControl/>
                    <w:jc w:val="center"/>
                    <w:rPr>
                      <w:color w:val="000000" w:themeColor="text1"/>
                      <w:kern w:val="0"/>
                      <w:sz w:val="18"/>
                      <w:szCs w:val="18"/>
                      <w14:textFill>
                        <w14:solidFill>
                          <w14:schemeClr w14:val="tx1"/>
                        </w14:solidFill>
                      </w14:textFill>
                    </w:rPr>
                  </w:pPr>
                </w:p>
              </w:tc>
              <w:tc>
                <w:tcPr>
                  <w:tcW w:w="992" w:type="dxa"/>
                  <w:shd w:val="clear" w:color="auto" w:fill="auto"/>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噪声</w:t>
                  </w:r>
                </w:p>
              </w:tc>
              <w:tc>
                <w:tcPr>
                  <w:tcW w:w="2694" w:type="dxa"/>
                  <w:shd w:val="clear" w:color="auto" w:fill="auto"/>
                  <w:vAlign w:val="center"/>
                </w:tcPr>
                <w:p>
                  <w:pPr>
                    <w:spacing w:line="240" w:lineRule="exact"/>
                    <w:jc w:val="center"/>
                    <w:rPr>
                      <w:color w:val="000000" w:themeColor="text1"/>
                      <w:kern w:val="0"/>
                      <w:sz w:val="18"/>
                      <w:szCs w:val="18"/>
                      <w14:textFill>
                        <w14:solidFill>
                          <w14:schemeClr w14:val="tx1"/>
                        </w14:solidFill>
                      </w14:textFill>
                    </w:rPr>
                  </w:pPr>
                  <w:r>
                    <w:rPr>
                      <w:kern w:val="0"/>
                      <w:sz w:val="18"/>
                      <w:szCs w:val="22"/>
                    </w:rPr>
                    <w:t>采取隔声、降噪、减震等措施。</w:t>
                  </w:r>
                </w:p>
              </w:tc>
              <w:tc>
                <w:tcPr>
                  <w:tcW w:w="2637" w:type="dxa"/>
                  <w:shd w:val="clear" w:color="auto" w:fill="auto"/>
                  <w:vAlign w:val="center"/>
                </w:tcPr>
                <w:p>
                  <w:pPr>
                    <w:adjustRightInd w:val="0"/>
                    <w:snapToGrid w:val="0"/>
                    <w:spacing w:line="240" w:lineRule="exact"/>
                    <w:jc w:val="center"/>
                    <w:rPr>
                      <w:color w:val="000000" w:themeColor="text1"/>
                      <w:kern w:val="0"/>
                      <w:sz w:val="18"/>
                      <w:szCs w:val="18"/>
                      <w14:textFill>
                        <w14:solidFill>
                          <w14:schemeClr w14:val="tx1"/>
                        </w14:solidFill>
                      </w14:textFill>
                    </w:rPr>
                  </w:pPr>
                  <w:r>
                    <w:rPr>
                      <w:kern w:val="0"/>
                      <w:sz w:val="18"/>
                      <w:szCs w:val="22"/>
                    </w:rPr>
                    <w:t>采取隔声、降噪、减震等措施。</w:t>
                  </w:r>
                </w:p>
              </w:tc>
              <w:tc>
                <w:tcPr>
                  <w:tcW w:w="1471" w:type="dxa"/>
                  <w:shd w:val="clear" w:color="auto" w:fill="auto"/>
                  <w:vAlign w:val="center"/>
                </w:tcPr>
                <w:p>
                  <w:pPr>
                    <w:widowControl/>
                    <w:jc w:val="center"/>
                    <w:rPr>
                      <w:color w:val="000000" w:themeColor="text1"/>
                      <w:kern w:val="0"/>
                      <w:sz w:val="18"/>
                      <w:szCs w:val="18"/>
                      <w:highlight w:val="yellow"/>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10</w:t>
                  </w:r>
                </w:p>
              </w:tc>
              <w:tc>
                <w:tcPr>
                  <w:tcW w:w="666" w:type="dxa"/>
                  <w:vMerge w:val="continue"/>
                  <w:shd w:val="clear" w:color="auto" w:fill="auto"/>
                  <w:vAlign w:val="center"/>
                </w:tcPr>
                <w:p>
                  <w:pPr>
                    <w:widowControl/>
                    <w:jc w:val="center"/>
                    <w:rPr>
                      <w:color w:val="000000" w:themeColor="text1"/>
                      <w:kern w:val="0"/>
                      <w:sz w:val="18"/>
                      <w:szCs w:val="18"/>
                      <w14:textFill>
                        <w14:solidFill>
                          <w14:schemeClr w14:val="tx1"/>
                        </w14:solidFill>
                      </w14:textFill>
                    </w:rPr>
                  </w:pPr>
                </w:p>
              </w:tc>
              <w:tc>
                <w:tcPr>
                  <w:tcW w:w="992" w:type="dxa"/>
                  <w:shd w:val="clear" w:color="auto" w:fill="auto"/>
                  <w:vAlign w:val="center"/>
                </w:tcPr>
                <w:p>
                  <w:pPr>
                    <w:pStyle w:val="121"/>
                    <w:spacing w:line="240" w:lineRule="atLeast"/>
                    <w:ind w:firstLine="0" w:firstLineChars="0"/>
                    <w:jc w:val="center"/>
                    <w:rPr>
                      <w:color w:val="000000" w:themeColor="text1"/>
                      <w:sz w:val="18"/>
                      <w:szCs w:val="18"/>
                      <w14:textFill>
                        <w14:solidFill>
                          <w14:schemeClr w14:val="tx1"/>
                        </w14:solidFill>
                      </w14:textFill>
                    </w:rPr>
                  </w:pPr>
                  <w:r>
                    <w:rPr>
                      <w:sz w:val="18"/>
                      <w:szCs w:val="18"/>
                    </w:rPr>
                    <w:t>固废</w:t>
                  </w:r>
                </w:p>
              </w:tc>
              <w:tc>
                <w:tcPr>
                  <w:tcW w:w="2694" w:type="dxa"/>
                  <w:shd w:val="clear" w:color="auto" w:fill="auto"/>
                  <w:vAlign w:val="center"/>
                </w:tcPr>
                <w:p>
                  <w:pPr>
                    <w:spacing w:line="240" w:lineRule="exact"/>
                    <w:jc w:val="center"/>
                    <w:rPr>
                      <w:color w:val="000000" w:themeColor="text1"/>
                      <w:kern w:val="0"/>
                      <w:sz w:val="18"/>
                      <w:szCs w:val="18"/>
                      <w14:textFill>
                        <w14:solidFill>
                          <w14:schemeClr w14:val="tx1"/>
                        </w14:solidFill>
                      </w14:textFill>
                    </w:rPr>
                  </w:pPr>
                  <w:r>
                    <w:rPr>
                      <w:bCs/>
                      <w:sz w:val="18"/>
                      <w:szCs w:val="18"/>
                    </w:rPr>
                    <w:t>5层设置危废暂存间，面积约4.0m</w:t>
                  </w:r>
                  <w:r>
                    <w:rPr>
                      <w:bCs/>
                      <w:sz w:val="18"/>
                      <w:szCs w:val="18"/>
                      <w:vertAlign w:val="superscript"/>
                    </w:rPr>
                    <w:t>2</w:t>
                  </w:r>
                  <w:r>
                    <w:rPr>
                      <w:bCs/>
                      <w:sz w:val="18"/>
                      <w:szCs w:val="18"/>
                    </w:rPr>
                    <w:t>。危险废物</w:t>
                  </w:r>
                  <w:r>
                    <w:rPr>
                      <w:kern w:val="0"/>
                      <w:sz w:val="18"/>
                      <w:szCs w:val="22"/>
                    </w:rPr>
                    <w:t>经危废暂存间临时贮存后交由具有资质的单位处置。</w:t>
                  </w:r>
                  <w:r>
                    <w:rPr>
                      <w:bCs/>
                      <w:sz w:val="18"/>
                      <w:szCs w:val="18"/>
                    </w:rPr>
                    <w:t>生活垃圾集中收集、及时清运</w:t>
                  </w:r>
                </w:p>
              </w:tc>
              <w:tc>
                <w:tcPr>
                  <w:tcW w:w="2637" w:type="dxa"/>
                  <w:shd w:val="clear" w:color="auto" w:fill="auto"/>
                  <w:vAlign w:val="center"/>
                </w:tcPr>
                <w:p>
                  <w:pPr>
                    <w:widowControl/>
                    <w:jc w:val="center"/>
                    <w:rPr>
                      <w:rFonts w:eastAsiaTheme="minorEastAsia"/>
                      <w:color w:val="000000" w:themeColor="text1"/>
                      <w:sz w:val="18"/>
                      <w:szCs w:val="18"/>
                      <w14:textFill>
                        <w14:solidFill>
                          <w14:schemeClr w14:val="tx1"/>
                        </w14:solidFill>
                      </w14:textFill>
                    </w:rPr>
                  </w:pPr>
                  <w:r>
                    <w:rPr>
                      <w:bCs/>
                      <w:sz w:val="18"/>
                      <w:szCs w:val="18"/>
                    </w:rPr>
                    <w:t>5层设置危废暂存间，面积约4.0m</w:t>
                  </w:r>
                  <w:r>
                    <w:rPr>
                      <w:bCs/>
                      <w:sz w:val="18"/>
                      <w:szCs w:val="18"/>
                      <w:vertAlign w:val="superscript"/>
                    </w:rPr>
                    <w:t>2</w:t>
                  </w:r>
                  <w:r>
                    <w:rPr>
                      <w:bCs/>
                      <w:sz w:val="18"/>
                      <w:szCs w:val="18"/>
                    </w:rPr>
                    <w:t>。危险废物</w:t>
                  </w:r>
                  <w:r>
                    <w:rPr>
                      <w:kern w:val="0"/>
                      <w:sz w:val="18"/>
                      <w:szCs w:val="22"/>
                    </w:rPr>
                    <w:t>经危废暂存间临时贮存后交由华新环境工程（武穴）有限公司处置。</w:t>
                  </w:r>
                  <w:r>
                    <w:rPr>
                      <w:bCs/>
                      <w:sz w:val="18"/>
                      <w:szCs w:val="18"/>
                    </w:rPr>
                    <w:t>生活垃圾集中收集、及时清运</w:t>
                  </w:r>
                </w:p>
              </w:tc>
              <w:tc>
                <w:tcPr>
                  <w:tcW w:w="1471" w:type="dxa"/>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11</w:t>
                  </w:r>
                </w:p>
              </w:tc>
              <w:tc>
                <w:tcPr>
                  <w:tcW w:w="666" w:type="dxa"/>
                  <w:vMerge w:val="restart"/>
                  <w:vAlign w:val="center"/>
                </w:tcPr>
                <w:p>
                  <w:pPr>
                    <w:widowControl/>
                    <w:jc w:val="center"/>
                    <w:rPr>
                      <w:color w:val="000000" w:themeColor="text1"/>
                      <w:kern w:val="0"/>
                      <w:sz w:val="18"/>
                      <w:szCs w:val="18"/>
                      <w:highlight w:val="yellow"/>
                      <w14:textFill>
                        <w14:solidFill>
                          <w14:schemeClr w14:val="tx1"/>
                        </w14:solidFill>
                      </w14:textFill>
                    </w:rPr>
                  </w:pPr>
                  <w:r>
                    <w:rPr>
                      <w:kern w:val="0"/>
                      <w:sz w:val="18"/>
                      <w:szCs w:val="22"/>
                    </w:rPr>
                    <w:t>储运工程</w:t>
                  </w:r>
                </w:p>
              </w:tc>
              <w:tc>
                <w:tcPr>
                  <w:tcW w:w="992" w:type="dxa"/>
                  <w:vAlign w:val="center"/>
                </w:tcPr>
                <w:p>
                  <w:pPr>
                    <w:widowControl/>
                    <w:jc w:val="center"/>
                    <w:rPr>
                      <w:sz w:val="18"/>
                      <w:szCs w:val="18"/>
                    </w:rPr>
                  </w:pPr>
                  <w:r>
                    <w:rPr>
                      <w:kern w:val="0"/>
                      <w:sz w:val="18"/>
                      <w:szCs w:val="22"/>
                    </w:rPr>
                    <w:t>耗材仓库</w:t>
                  </w:r>
                </w:p>
              </w:tc>
              <w:tc>
                <w:tcPr>
                  <w:tcW w:w="2694" w:type="dxa"/>
                  <w:vAlign w:val="center"/>
                </w:tcPr>
                <w:p>
                  <w:pPr>
                    <w:spacing w:line="240" w:lineRule="exact"/>
                    <w:jc w:val="center"/>
                    <w:rPr>
                      <w:bCs/>
                      <w:sz w:val="18"/>
                      <w:szCs w:val="18"/>
                    </w:rPr>
                  </w:pPr>
                  <w:r>
                    <w:rPr>
                      <w:bCs/>
                      <w:sz w:val="18"/>
                      <w:szCs w:val="18"/>
                    </w:rPr>
                    <w:t>2层设置耗材仓库1间</w:t>
                  </w:r>
                </w:p>
              </w:tc>
              <w:tc>
                <w:tcPr>
                  <w:tcW w:w="2637" w:type="dxa"/>
                  <w:vAlign w:val="center"/>
                </w:tcPr>
                <w:p>
                  <w:pPr>
                    <w:spacing w:line="240" w:lineRule="exact"/>
                    <w:jc w:val="center"/>
                    <w:rPr>
                      <w:bCs/>
                      <w:sz w:val="18"/>
                      <w:szCs w:val="18"/>
                    </w:rPr>
                  </w:pPr>
                  <w:r>
                    <w:rPr>
                      <w:bCs/>
                      <w:sz w:val="18"/>
                      <w:szCs w:val="18"/>
                    </w:rPr>
                    <w:t>2层设置耗材仓库1间</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10"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12</w:t>
                  </w:r>
                </w:p>
              </w:tc>
              <w:tc>
                <w:tcPr>
                  <w:tcW w:w="666" w:type="dxa"/>
                  <w:vMerge w:val="continue"/>
                  <w:vAlign w:val="center"/>
                </w:tcPr>
                <w:p>
                  <w:pPr>
                    <w:widowControl/>
                    <w:jc w:val="center"/>
                    <w:rPr>
                      <w:color w:val="000000" w:themeColor="text1"/>
                      <w:kern w:val="0"/>
                      <w:sz w:val="18"/>
                      <w:szCs w:val="18"/>
                      <w:highlight w:val="yellow"/>
                      <w14:textFill>
                        <w14:solidFill>
                          <w14:schemeClr w14:val="tx1"/>
                        </w14:solidFill>
                      </w14:textFill>
                    </w:rPr>
                  </w:pPr>
                </w:p>
              </w:tc>
              <w:tc>
                <w:tcPr>
                  <w:tcW w:w="992" w:type="dxa"/>
                  <w:vAlign w:val="center"/>
                </w:tcPr>
                <w:p>
                  <w:pPr>
                    <w:widowControl/>
                    <w:jc w:val="center"/>
                    <w:rPr>
                      <w:sz w:val="18"/>
                      <w:szCs w:val="18"/>
                    </w:rPr>
                  </w:pPr>
                  <w:r>
                    <w:rPr>
                      <w:kern w:val="0"/>
                      <w:sz w:val="18"/>
                      <w:szCs w:val="22"/>
                    </w:rPr>
                    <w:t>试剂仓库</w:t>
                  </w:r>
                </w:p>
              </w:tc>
              <w:tc>
                <w:tcPr>
                  <w:tcW w:w="2694" w:type="dxa"/>
                  <w:vAlign w:val="center"/>
                </w:tcPr>
                <w:p>
                  <w:pPr>
                    <w:spacing w:line="240" w:lineRule="exact"/>
                    <w:jc w:val="center"/>
                    <w:rPr>
                      <w:bCs/>
                      <w:sz w:val="18"/>
                      <w:szCs w:val="18"/>
                    </w:rPr>
                  </w:pPr>
                  <w:r>
                    <w:rPr>
                      <w:bCs/>
                      <w:sz w:val="18"/>
                      <w:szCs w:val="18"/>
                    </w:rPr>
                    <w:t>2层设置试剂仓库1间</w:t>
                  </w:r>
                </w:p>
              </w:tc>
              <w:tc>
                <w:tcPr>
                  <w:tcW w:w="2637" w:type="dxa"/>
                  <w:vAlign w:val="center"/>
                </w:tcPr>
                <w:p>
                  <w:pPr>
                    <w:spacing w:line="240" w:lineRule="exact"/>
                    <w:jc w:val="center"/>
                    <w:rPr>
                      <w:bCs/>
                      <w:sz w:val="18"/>
                      <w:szCs w:val="18"/>
                    </w:rPr>
                  </w:pPr>
                  <w:r>
                    <w:rPr>
                      <w:bCs/>
                      <w:sz w:val="18"/>
                      <w:szCs w:val="18"/>
                    </w:rPr>
                    <w:t>2层设置试剂仓库1间</w:t>
                  </w:r>
                </w:p>
              </w:tc>
              <w:tc>
                <w:tcPr>
                  <w:tcW w:w="1471"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无变更</w:t>
                  </w:r>
                </w:p>
              </w:tc>
            </w:tr>
          </w:tbl>
          <w:p>
            <w:pPr>
              <w:pStyle w:val="122"/>
              <w:rPr>
                <w:b w:val="0"/>
                <w:bCs/>
                <w:sz w:val="21"/>
                <w:szCs w:val="21"/>
              </w:rPr>
            </w:pPr>
            <w:bookmarkStart w:id="2" w:name="_Ref51092157"/>
            <w:r>
              <w:rPr>
                <w:b w:val="0"/>
                <w:bCs/>
                <w:sz w:val="21"/>
                <w:szCs w:val="21"/>
              </w:rPr>
              <w:t>表2-3 项目主要仪器一览表</w:t>
            </w:r>
            <w:bookmarkEnd w:id="2"/>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296"/>
              <w:gridCol w:w="1609"/>
              <w:gridCol w:w="584"/>
              <w:gridCol w:w="586"/>
              <w:gridCol w:w="32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vAlign w:val="center"/>
                </w:tcPr>
                <w:p>
                  <w:pPr>
                    <w:widowControl/>
                    <w:spacing w:line="25" w:lineRule="atLeast"/>
                    <w:jc w:val="center"/>
                    <w:rPr>
                      <w:rFonts w:eastAsiaTheme="minorEastAsia"/>
                      <w:b/>
                      <w:kern w:val="0"/>
                      <w:sz w:val="18"/>
                      <w:szCs w:val="18"/>
                    </w:rPr>
                  </w:pPr>
                  <w:r>
                    <w:rPr>
                      <w:rFonts w:eastAsiaTheme="minorEastAsia"/>
                      <w:b/>
                      <w:kern w:val="0"/>
                      <w:sz w:val="18"/>
                      <w:szCs w:val="18"/>
                    </w:rPr>
                    <w:t>序号</w:t>
                  </w:r>
                </w:p>
              </w:tc>
              <w:tc>
                <w:tcPr>
                  <w:tcW w:w="1265" w:type="pct"/>
                  <w:vAlign w:val="center"/>
                </w:tcPr>
                <w:p>
                  <w:pPr>
                    <w:widowControl/>
                    <w:spacing w:line="25" w:lineRule="atLeast"/>
                    <w:jc w:val="center"/>
                    <w:rPr>
                      <w:rFonts w:eastAsiaTheme="minorEastAsia"/>
                      <w:b/>
                      <w:kern w:val="0"/>
                      <w:sz w:val="18"/>
                      <w:szCs w:val="18"/>
                    </w:rPr>
                  </w:pPr>
                  <w:r>
                    <w:rPr>
                      <w:rFonts w:eastAsiaTheme="minorEastAsia"/>
                      <w:b/>
                      <w:kern w:val="0"/>
                      <w:sz w:val="18"/>
                      <w:szCs w:val="18"/>
                    </w:rPr>
                    <w:t>设备名称</w:t>
                  </w:r>
                </w:p>
              </w:tc>
              <w:tc>
                <w:tcPr>
                  <w:tcW w:w="886" w:type="pct"/>
                  <w:vAlign w:val="center"/>
                </w:tcPr>
                <w:p>
                  <w:pPr>
                    <w:widowControl/>
                    <w:spacing w:line="25" w:lineRule="atLeast"/>
                    <w:jc w:val="center"/>
                    <w:rPr>
                      <w:rFonts w:eastAsiaTheme="minorEastAsia"/>
                      <w:b/>
                      <w:kern w:val="0"/>
                      <w:sz w:val="18"/>
                      <w:szCs w:val="18"/>
                    </w:rPr>
                  </w:pPr>
                  <w:r>
                    <w:rPr>
                      <w:rFonts w:eastAsiaTheme="minorEastAsia"/>
                      <w:b/>
                      <w:kern w:val="0"/>
                      <w:sz w:val="18"/>
                      <w:szCs w:val="18"/>
                    </w:rPr>
                    <w:t>规格型号</w:t>
                  </w:r>
                </w:p>
              </w:tc>
              <w:tc>
                <w:tcPr>
                  <w:tcW w:w="321" w:type="pct"/>
                  <w:vAlign w:val="center"/>
                </w:tcPr>
                <w:p>
                  <w:pPr>
                    <w:widowControl/>
                    <w:spacing w:line="25" w:lineRule="atLeast"/>
                    <w:jc w:val="center"/>
                    <w:rPr>
                      <w:rFonts w:eastAsiaTheme="minorEastAsia"/>
                      <w:b/>
                      <w:kern w:val="0"/>
                      <w:sz w:val="18"/>
                      <w:szCs w:val="18"/>
                    </w:rPr>
                  </w:pPr>
                  <w:r>
                    <w:rPr>
                      <w:rFonts w:eastAsiaTheme="minorEastAsia"/>
                      <w:b/>
                      <w:kern w:val="0"/>
                      <w:sz w:val="18"/>
                      <w:szCs w:val="18"/>
                    </w:rPr>
                    <w:t>单位</w:t>
                  </w:r>
                </w:p>
              </w:tc>
              <w:tc>
                <w:tcPr>
                  <w:tcW w:w="323" w:type="pct"/>
                  <w:vAlign w:val="center"/>
                </w:tcPr>
                <w:p>
                  <w:pPr>
                    <w:widowControl/>
                    <w:spacing w:line="25" w:lineRule="atLeast"/>
                    <w:jc w:val="center"/>
                    <w:rPr>
                      <w:rFonts w:eastAsiaTheme="minorEastAsia"/>
                      <w:b/>
                      <w:kern w:val="0"/>
                      <w:sz w:val="18"/>
                      <w:szCs w:val="18"/>
                    </w:rPr>
                  </w:pPr>
                  <w:r>
                    <w:rPr>
                      <w:rFonts w:eastAsiaTheme="minorEastAsia"/>
                      <w:b/>
                      <w:kern w:val="0"/>
                      <w:sz w:val="18"/>
                      <w:szCs w:val="18"/>
                    </w:rPr>
                    <w:t>数量</w:t>
                  </w:r>
                </w:p>
              </w:tc>
              <w:tc>
                <w:tcPr>
                  <w:tcW w:w="1772" w:type="pct"/>
                  <w:vAlign w:val="center"/>
                </w:tcPr>
                <w:p>
                  <w:pPr>
                    <w:widowControl/>
                    <w:spacing w:line="25" w:lineRule="atLeast"/>
                    <w:jc w:val="center"/>
                    <w:rPr>
                      <w:rFonts w:eastAsiaTheme="minorEastAsia"/>
                      <w:b/>
                      <w:kern w:val="0"/>
                      <w:sz w:val="18"/>
                      <w:szCs w:val="18"/>
                    </w:rPr>
                  </w:pPr>
                  <w:r>
                    <w:rPr>
                      <w:rFonts w:eastAsiaTheme="minorEastAsia"/>
                      <w:b/>
                      <w:kern w:val="0"/>
                      <w:sz w:val="18"/>
                      <w:szCs w:val="18"/>
                    </w:rPr>
                    <w:t>功能及用途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op w:val="single" w:color="auto" w:sz="12"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w:t>
                  </w:r>
                </w:p>
              </w:tc>
              <w:tc>
                <w:tcPr>
                  <w:tcW w:w="1265"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台式低速离心机</w:t>
                  </w:r>
                </w:p>
              </w:tc>
              <w:tc>
                <w:tcPr>
                  <w:tcW w:w="886"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TD5A-WS</w:t>
                  </w:r>
                </w:p>
              </w:tc>
              <w:tc>
                <w:tcPr>
                  <w:tcW w:w="321"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12"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4</w:t>
                  </w:r>
                </w:p>
              </w:tc>
              <w:tc>
                <w:tcPr>
                  <w:tcW w:w="1772" w:type="pct"/>
                  <w:tcBorders>
                    <w:top w:val="single" w:color="auto" w:sz="12"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离心，收集沉淀细胞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2</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倒置相差显微镜</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ckx41sF</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4</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观察细胞状态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3</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二氧化碳培养箱</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MCO-18AC</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4</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加热，提供细胞生长环境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4</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液氮罐</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YDS-120-216</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套</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2</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细胞/菌种保存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5</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液氮罐</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YDS-65-216</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套</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3</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细胞/菌种保存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6</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PALL不锈钢筒式过滤器</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SAS0105G23JD</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套</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2</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培养基/缓冲液过滤除菌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7</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台式高速冷冻离心机</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H2050R-1</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1</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离心，载体构建/蛋白纯化用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8</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蛋白检测设备</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DYCZ-24DN</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套</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1</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蛋白电泳，检测蛋白表达情况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9</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纯水系统</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0.25t/h</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套</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2</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纯水制备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10</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PCR仪</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EDC-810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1</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基因扩增，构建表达载体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11</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琼脂糖水平电泳槽</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DYCP-31E</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1</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DNA电泳，构建载体检测用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12</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电热恒温水浴锅</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DK-98-</w:t>
                  </w:r>
                  <w:r>
                    <w:rPr>
                      <w:kern w:val="0"/>
                      <w:sz w:val="18"/>
                      <w:szCs w:val="18"/>
                    </w:rPr>
                    <w:t>Ⅱ</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2</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提供37</w:t>
                  </w:r>
                  <w:r>
                    <w:rPr>
                      <w:kern w:val="0"/>
                      <w:sz w:val="18"/>
                      <w:szCs w:val="18"/>
                    </w:rPr>
                    <w:t>℃</w:t>
                  </w:r>
                  <w:r>
                    <w:rPr>
                      <w:rFonts w:eastAsiaTheme="minorEastAsia"/>
                      <w:kern w:val="0"/>
                      <w:sz w:val="18"/>
                      <w:szCs w:val="18"/>
                    </w:rPr>
                    <w:t>水浴，用于冻存细胞的复苏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14</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电热恒温干燥箱</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DHG-9141A</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2</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灭菌物品/物料干燥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15</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-40</w:t>
                  </w:r>
                  <w:r>
                    <w:rPr>
                      <w:kern w:val="0"/>
                      <w:sz w:val="18"/>
                      <w:szCs w:val="18"/>
                    </w:rPr>
                    <w:t>℃</w:t>
                  </w:r>
                  <w:r>
                    <w:rPr>
                      <w:rFonts w:eastAsiaTheme="minorEastAsia"/>
                      <w:kern w:val="0"/>
                      <w:sz w:val="18"/>
                      <w:szCs w:val="18"/>
                    </w:rPr>
                    <w:t>医用冷柜</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DW-40W380</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1</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用于需低温保存试剂的存放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16</w:t>
                  </w:r>
                </w:p>
              </w:tc>
              <w:tc>
                <w:tcPr>
                  <w:tcW w:w="12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恒温水浴振荡摇床</w:t>
                  </w:r>
                </w:p>
              </w:tc>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SHZ-88</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1</w:t>
                  </w:r>
                </w:p>
              </w:tc>
              <w:tc>
                <w:tcPr>
                  <w:tcW w:w="1772" w:type="pct"/>
                  <w:tcBorders>
                    <w:top w:val="single" w:color="auto" w:sz="4" w:space="0"/>
                    <w:left w:val="single" w:color="auto" w:sz="4" w:space="0"/>
                    <w:bottom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用于细胞振荡消化/菌种振荡培养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9" w:type="pct"/>
                  <w:tcBorders>
                    <w:top w:val="single" w:color="auto" w:sz="4" w:space="0"/>
                    <w:bottom w:val="single" w:color="auto" w:sz="12"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17</w:t>
                  </w:r>
                </w:p>
              </w:tc>
              <w:tc>
                <w:tcPr>
                  <w:tcW w:w="1265"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立式高压灭菌锅</w:t>
                  </w:r>
                </w:p>
              </w:tc>
              <w:tc>
                <w:tcPr>
                  <w:tcW w:w="886"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LX-C50L</w:t>
                  </w:r>
                </w:p>
              </w:tc>
              <w:tc>
                <w:tcPr>
                  <w:tcW w:w="321"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台</w:t>
                  </w:r>
                </w:p>
              </w:tc>
              <w:tc>
                <w:tcPr>
                  <w:tcW w:w="323"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spacing w:line="25" w:lineRule="atLeast"/>
                    <w:jc w:val="center"/>
                    <w:rPr>
                      <w:rFonts w:eastAsiaTheme="minorEastAsia"/>
                      <w:kern w:val="0"/>
                      <w:sz w:val="18"/>
                      <w:szCs w:val="18"/>
                    </w:rPr>
                  </w:pPr>
                  <w:r>
                    <w:rPr>
                      <w:kern w:val="0"/>
                      <w:sz w:val="18"/>
                      <w:szCs w:val="18"/>
                    </w:rPr>
                    <w:t>2</w:t>
                  </w:r>
                </w:p>
              </w:tc>
              <w:tc>
                <w:tcPr>
                  <w:tcW w:w="1772" w:type="pct"/>
                  <w:tcBorders>
                    <w:top w:val="single" w:color="auto" w:sz="4" w:space="0"/>
                    <w:left w:val="single" w:color="auto" w:sz="4" w:space="0"/>
                    <w:bottom w:val="single" w:color="auto" w:sz="12" w:space="0"/>
                  </w:tcBorders>
                  <w:shd w:val="clear" w:color="auto" w:fill="auto"/>
                  <w:vAlign w:val="center"/>
                </w:tcPr>
                <w:p>
                  <w:pPr>
                    <w:widowControl/>
                    <w:spacing w:line="25" w:lineRule="atLeast"/>
                    <w:jc w:val="center"/>
                    <w:rPr>
                      <w:rFonts w:eastAsiaTheme="minorEastAsia"/>
                      <w:kern w:val="0"/>
                      <w:sz w:val="18"/>
                      <w:szCs w:val="18"/>
                    </w:rPr>
                  </w:pPr>
                  <w:r>
                    <w:rPr>
                      <w:rFonts w:eastAsiaTheme="minorEastAsia"/>
                      <w:kern w:val="0"/>
                      <w:sz w:val="18"/>
                      <w:szCs w:val="18"/>
                    </w:rPr>
                    <w:t>试剂/耗材灭菌消毒</w:t>
                  </w:r>
                </w:p>
              </w:tc>
            </w:tr>
          </w:tbl>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2.5主要原辅材料</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主要原辅材料年消耗见2-4，</w:t>
            </w:r>
            <w:r>
              <w:rPr>
                <w:sz w:val="24"/>
              </w:rPr>
              <w:t>研发所涉及主要化学品的理化性质见2-5</w:t>
            </w:r>
            <w:r>
              <w:rPr>
                <w:color w:val="000000" w:themeColor="text1"/>
                <w:sz w:val="24"/>
                <w14:textFill>
                  <w14:solidFill>
                    <w14:schemeClr w14:val="tx1"/>
                  </w14:solidFill>
                </w14:textFill>
              </w:rPr>
              <w:t>。</w:t>
            </w:r>
          </w:p>
          <w:p>
            <w:pPr>
              <w:ind w:firstLine="420" w:firstLineChars="200"/>
              <w:jc w:val="center"/>
            </w:pPr>
            <w:r>
              <w:rPr>
                <w:rFonts w:eastAsia="黑体"/>
                <w:color w:val="000000" w:themeColor="text1"/>
                <w:szCs w:val="21"/>
                <w14:textFill>
                  <w14:solidFill>
                    <w14:schemeClr w14:val="tx1"/>
                  </w14:solidFill>
                </w14:textFill>
              </w:rPr>
              <w:t xml:space="preserve">表2-4 </w:t>
            </w:r>
            <w:bookmarkStart w:id="3" w:name="_Ref51092180"/>
            <w:r>
              <w:rPr>
                <w:rFonts w:eastAsia="黑体"/>
                <w:color w:val="000000" w:themeColor="text1"/>
                <w:szCs w:val="21"/>
                <w14:textFill>
                  <w14:solidFill>
                    <w14:schemeClr w14:val="tx1"/>
                  </w14:solidFill>
                </w14:textFill>
              </w:rPr>
              <w:t>主要原辅材料消耗一览表</w:t>
            </w:r>
            <w:bookmarkEnd w:id="3"/>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714"/>
              <w:gridCol w:w="1232"/>
              <w:gridCol w:w="693"/>
              <w:gridCol w:w="358"/>
              <w:gridCol w:w="323"/>
              <w:gridCol w:w="427"/>
              <w:gridCol w:w="1123"/>
              <w:gridCol w:w="238"/>
              <w:gridCol w:w="12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5000" w:type="pct"/>
                  <w:gridSpan w:val="10"/>
                  <w:vAlign w:val="center"/>
                </w:tcPr>
                <w:p>
                  <w:pPr>
                    <w:widowControl/>
                    <w:spacing w:line="240" w:lineRule="exact"/>
                    <w:jc w:val="center"/>
                    <w:rPr>
                      <w:rFonts w:eastAsiaTheme="minorEastAsia"/>
                      <w:b/>
                      <w:kern w:val="0"/>
                      <w:sz w:val="18"/>
                      <w:szCs w:val="18"/>
                    </w:rPr>
                  </w:pPr>
                  <w:r>
                    <w:rPr>
                      <w:rFonts w:eastAsiaTheme="minorEastAsia"/>
                      <w:b/>
                      <w:kern w:val="0"/>
                      <w:sz w:val="18"/>
                      <w:szCs w:val="18"/>
                    </w:rPr>
                    <w:t>一、项目耗材类年消耗情况一览表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序号</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货品名称</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规格</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单位</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数量</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1.5mL离心管</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500支/包</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100mL血清/培养基方瓶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无菌，100个/箱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试剂容器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3</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10cm细胞培养皿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300个/箱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10μL白枪头</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1000支/包</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125mL血清/培养基方瓶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无菌，330个/箱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试剂容器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6</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12孔细胞培养板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7</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15cm细胞培养皿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120个/箱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8</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15mL离心管</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25支/包，20包/箱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试剂离心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9</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1mL蓝枪头</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500支/包</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200μL黄枪头</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1000支/包</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11</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24孔细胞培养板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12</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2mL内旋冻存管</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50个/包，10包/箱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细胞冻存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13</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500mL血清/培养基方瓶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无菌，84个/箱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试剂容器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14</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50mL离心管</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25支/包，20包/箱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试剂离心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5mL白枪头</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300支/包</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40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16</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6cm细胞培养皿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600个/箱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17</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6孔细胞培养板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18</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96孔细胞培养板</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19</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PCR管</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200μL，1000支/包</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T175培养瓶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40个/箱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21</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T25培养瓶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22</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T75培养瓶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100个/箱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细胞培养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23</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1000mL蓝盖玻璃瓶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1000mL/个</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个</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试剂配制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24</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250mL蓝盖玻璃瓶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250mL/个</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个</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试剂配制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25</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2000mL蓝盖玻璃瓶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2000mL/个</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个</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试剂配制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26</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500mL蓝盖玻璃瓶</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500mL/个</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个</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试剂配制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27</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细胞筛100目</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100目</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个</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组织分离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28</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细胞筛200目</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200目</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个</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组织分离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29</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小号乳胶手套</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600双/箱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盒</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30</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一次性PE手套</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50包/箱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vAlign w:val="center"/>
                </w:tcPr>
                <w:p>
                  <w:pPr>
                    <w:widowControl/>
                    <w:spacing w:line="240" w:lineRule="exact"/>
                    <w:jc w:val="center"/>
                    <w:rPr>
                      <w:rFonts w:eastAsiaTheme="minorEastAsia"/>
                      <w:kern w:val="0"/>
                      <w:sz w:val="18"/>
                      <w:szCs w:val="18"/>
                    </w:rPr>
                  </w:pPr>
                  <w:r>
                    <w:rPr>
                      <w:rFonts w:eastAsiaTheme="minorEastAsia"/>
                      <w:kern w:val="0"/>
                      <w:sz w:val="18"/>
                      <w:szCs w:val="18"/>
                    </w:rPr>
                    <w:t>31</w:t>
                  </w:r>
                </w:p>
              </w:tc>
              <w:tc>
                <w:tcPr>
                  <w:tcW w:w="1496" w:type="pct"/>
                  <w:vAlign w:val="center"/>
                </w:tcPr>
                <w:p>
                  <w:pPr>
                    <w:widowControl/>
                    <w:spacing w:line="240" w:lineRule="exact"/>
                    <w:jc w:val="center"/>
                    <w:rPr>
                      <w:rFonts w:eastAsiaTheme="minorEastAsia"/>
                      <w:kern w:val="0"/>
                      <w:sz w:val="18"/>
                      <w:szCs w:val="18"/>
                    </w:rPr>
                  </w:pPr>
                  <w:r>
                    <w:rPr>
                      <w:rFonts w:eastAsiaTheme="minorEastAsia"/>
                      <w:kern w:val="0"/>
                      <w:sz w:val="18"/>
                      <w:szCs w:val="18"/>
                    </w:rPr>
                    <w:t>一次性口罩</w:t>
                  </w:r>
                </w:p>
              </w:tc>
              <w:tc>
                <w:tcPr>
                  <w:tcW w:w="1258" w:type="pct"/>
                  <w:gridSpan w:val="3"/>
                  <w:vAlign w:val="center"/>
                </w:tcPr>
                <w:p>
                  <w:pPr>
                    <w:widowControl/>
                    <w:spacing w:line="240" w:lineRule="exact"/>
                    <w:jc w:val="center"/>
                    <w:rPr>
                      <w:rFonts w:eastAsiaTheme="minorEastAsia"/>
                      <w:kern w:val="0"/>
                      <w:sz w:val="18"/>
                      <w:szCs w:val="18"/>
                    </w:rPr>
                  </w:pPr>
                  <w:r>
                    <w:rPr>
                      <w:rFonts w:eastAsiaTheme="minorEastAsia"/>
                      <w:kern w:val="0"/>
                      <w:sz w:val="18"/>
                      <w:szCs w:val="18"/>
                    </w:rPr>
                    <w:t>500个/箱</w:t>
                  </w:r>
                </w:p>
              </w:tc>
              <w:tc>
                <w:tcPr>
                  <w:tcW w:w="413"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箱</w:t>
                  </w:r>
                </w:p>
              </w:tc>
              <w:tc>
                <w:tcPr>
                  <w:tcW w:w="619" w:type="pct"/>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828" w:type="pct"/>
                  <w:gridSpan w:val="2"/>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tcBorders>
                    <w:bottom w:val="single" w:color="auto" w:sz="12" w:space="0"/>
                  </w:tcBorders>
                  <w:vAlign w:val="center"/>
                </w:tcPr>
                <w:p>
                  <w:pPr>
                    <w:widowControl/>
                    <w:spacing w:line="240" w:lineRule="exact"/>
                    <w:jc w:val="center"/>
                    <w:rPr>
                      <w:rFonts w:hint="eastAsia" w:eastAsiaTheme="minorEastAsia"/>
                      <w:kern w:val="0"/>
                      <w:sz w:val="18"/>
                      <w:szCs w:val="18"/>
                      <w:lang w:val="en-US" w:eastAsia="zh-CN"/>
                    </w:rPr>
                  </w:pPr>
                  <w:r>
                    <w:rPr>
                      <w:rFonts w:eastAsiaTheme="minorEastAsia"/>
                      <w:kern w:val="0"/>
                      <w:sz w:val="18"/>
                      <w:szCs w:val="18"/>
                    </w:rPr>
                    <w:t>3</w:t>
                  </w:r>
                  <w:r>
                    <w:rPr>
                      <w:rFonts w:hint="eastAsia" w:eastAsiaTheme="minorEastAsia"/>
                      <w:kern w:val="0"/>
                      <w:sz w:val="18"/>
                      <w:szCs w:val="18"/>
                      <w:lang w:val="en-US" w:eastAsia="zh-CN"/>
                    </w:rPr>
                    <w:t>2</w:t>
                  </w:r>
                </w:p>
              </w:tc>
              <w:tc>
                <w:tcPr>
                  <w:tcW w:w="1496" w:type="pct"/>
                  <w:tcBorders>
                    <w:bottom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中号乳胶手套</w:t>
                  </w:r>
                </w:p>
              </w:tc>
              <w:tc>
                <w:tcPr>
                  <w:tcW w:w="1258" w:type="pct"/>
                  <w:gridSpan w:val="3"/>
                  <w:tcBorders>
                    <w:bottom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600双/箱</w:t>
                  </w:r>
                </w:p>
              </w:tc>
              <w:tc>
                <w:tcPr>
                  <w:tcW w:w="413" w:type="pct"/>
                  <w:gridSpan w:val="2"/>
                  <w:tcBorders>
                    <w:bottom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盒</w:t>
                  </w:r>
                </w:p>
              </w:tc>
              <w:tc>
                <w:tcPr>
                  <w:tcW w:w="619" w:type="pct"/>
                  <w:tcBorders>
                    <w:bottom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828" w:type="pct"/>
                  <w:gridSpan w:val="2"/>
                  <w:tcBorders>
                    <w:bottom w:val="single" w:color="auto" w:sz="12" w:space="0"/>
                  </w:tcBorders>
                  <w:vAlign w:val="center"/>
                </w:tcPr>
                <w:p>
                  <w:pPr>
                    <w:widowControl/>
                    <w:spacing w:line="240" w:lineRule="exact"/>
                    <w:jc w:val="center"/>
                    <w:rPr>
                      <w:rFonts w:eastAsiaTheme="minorEastAsia"/>
                      <w:kern w:val="0"/>
                      <w:sz w:val="18"/>
                      <w:szCs w:val="18"/>
                    </w:rPr>
                  </w:pPr>
                  <w:r>
                    <w:rPr>
                      <w:rFonts w:eastAsiaTheme="minorEastAsia"/>
                      <w:kern w:val="0"/>
                      <w:sz w:val="18"/>
                      <w:szCs w:val="18"/>
                    </w:rPr>
                    <w:t>通用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5000" w:type="pct"/>
                  <w:gridSpan w:val="10"/>
                  <w:tcBorders>
                    <w:top w:val="single" w:color="auto" w:sz="12" w:space="0"/>
                    <w:bottom w:val="single" w:color="auto" w:sz="12" w:space="0"/>
                  </w:tcBorders>
                  <w:vAlign w:val="center"/>
                </w:tcPr>
                <w:p>
                  <w:pPr>
                    <w:widowControl/>
                    <w:spacing w:line="240" w:lineRule="exact"/>
                    <w:jc w:val="center"/>
                    <w:rPr>
                      <w:rFonts w:eastAsiaTheme="minorEastAsia"/>
                      <w:b/>
                      <w:kern w:val="0"/>
                      <w:sz w:val="18"/>
                      <w:szCs w:val="18"/>
                    </w:rPr>
                  </w:pPr>
                  <w:r>
                    <w:rPr>
                      <w:rFonts w:eastAsiaTheme="minorEastAsia"/>
                      <w:b/>
                      <w:kern w:val="0"/>
                      <w:sz w:val="18"/>
                      <w:szCs w:val="18"/>
                    </w:rPr>
                    <w:t>二、项目主要原辅料年消耗情况一览表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序号</w:t>
                  </w:r>
                </w:p>
              </w:tc>
              <w:tc>
                <w:tcPr>
                  <w:tcW w:w="1496" w:type="pct"/>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货品名称</w:t>
                  </w:r>
                </w:p>
              </w:tc>
              <w:tc>
                <w:tcPr>
                  <w:tcW w:w="679" w:type="pct"/>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规格</w:t>
                  </w:r>
                </w:p>
              </w:tc>
              <w:tc>
                <w:tcPr>
                  <w:tcW w:w="382" w:type="pct"/>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单位</w:t>
                  </w:r>
                </w:p>
              </w:tc>
              <w:tc>
                <w:tcPr>
                  <w:tcW w:w="375" w:type="pct"/>
                  <w:gridSpan w:val="2"/>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数量</w:t>
                  </w:r>
                </w:p>
              </w:tc>
              <w:tc>
                <w:tcPr>
                  <w:tcW w:w="985" w:type="pct"/>
                  <w:gridSpan w:val="3"/>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用途</w:t>
                  </w:r>
                </w:p>
              </w:tc>
              <w:tc>
                <w:tcPr>
                  <w:tcW w:w="696" w:type="pct"/>
                  <w:tcBorders>
                    <w:top w:val="single" w:color="auto" w:sz="12" w:space="0"/>
                    <w:bottom w:val="single" w:color="auto" w:sz="12" w:space="0"/>
                  </w:tcBorders>
                  <w:vAlign w:val="center"/>
                </w:tcPr>
                <w:p>
                  <w:pPr>
                    <w:widowControl/>
                    <w:spacing w:line="240" w:lineRule="exact"/>
                    <w:jc w:val="center"/>
                    <w:rPr>
                      <w:rFonts w:eastAsiaTheme="minorEastAsia"/>
                      <w:b/>
                      <w:bCs/>
                      <w:kern w:val="0"/>
                      <w:sz w:val="18"/>
                      <w:szCs w:val="18"/>
                    </w:rPr>
                  </w:pPr>
                  <w:r>
                    <w:rPr>
                      <w:rFonts w:eastAsiaTheme="minorEastAsia"/>
                      <w:b/>
                      <w:bCs/>
                      <w:kern w:val="0"/>
                      <w:sz w:val="18"/>
                      <w:szCs w:val="18"/>
                    </w:rPr>
                    <w:t>实验室最大存储量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c>
                <w:tcPr>
                  <w:tcW w:w="1496" w:type="pct"/>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Percoll分离液</w:t>
                  </w:r>
                </w:p>
              </w:tc>
              <w:tc>
                <w:tcPr>
                  <w:tcW w:w="679" w:type="pct"/>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100mL/瓶</w:t>
                  </w:r>
                </w:p>
              </w:tc>
              <w:tc>
                <w:tcPr>
                  <w:tcW w:w="382" w:type="pct"/>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18</w:t>
                  </w:r>
                </w:p>
              </w:tc>
              <w:tc>
                <w:tcPr>
                  <w:tcW w:w="985" w:type="pct"/>
                  <w:gridSpan w:val="3"/>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细胞分离</w:t>
                  </w:r>
                </w:p>
              </w:tc>
              <w:tc>
                <w:tcPr>
                  <w:tcW w:w="696" w:type="pct"/>
                  <w:tcBorders>
                    <w:top w:val="single" w:color="auto" w:sz="12" w:space="0"/>
                  </w:tcBorders>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胶原酶</w:t>
                  </w:r>
                  <w:r>
                    <w:rPr>
                      <w:kern w:val="0"/>
                      <w:sz w:val="18"/>
                      <w:szCs w:val="18"/>
                    </w:rPr>
                    <w:t>Ⅰ</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细胞分离/消化</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胶原酶</w:t>
                  </w:r>
                  <w:r>
                    <w:rPr>
                      <w:kern w:val="0"/>
                      <w:sz w:val="18"/>
                      <w:szCs w:val="18"/>
                    </w:rPr>
                    <w:t>Ⅱ</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细胞分离/消化</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胶原酶</w:t>
                  </w:r>
                  <w:r>
                    <w:rPr>
                      <w:kern w:val="0"/>
                      <w:sz w:val="18"/>
                      <w:szCs w:val="18"/>
                    </w:rPr>
                    <w:t>Ⅳ</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细胞分离/消化</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6</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青霉素G钠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配制培养基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7</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硫酸链霉素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配制培养基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8</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胰蛋白酶（1:250）</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细胞分离/消化</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9</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DMEM高糖基础培养基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25L/包</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RPMI-1640基础培养基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25L/包</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11</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MEM基础培养基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25L/包</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12</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DMEM/F12基础培养基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25L/包</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13</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IMDM基础培养基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25L/包</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14</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M199基础培养基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25L/包</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包</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内皮细胞专用培养基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16</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上皮细胞专用培养基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80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17</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马血清</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18</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新生牛血清</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300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19</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胎牛血清</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150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培养基配制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95%酒精</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360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消毒及酒精灯</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21</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酵母提取物</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12</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微生物培养</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22</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胰蛋白胨</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12</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微生物培养</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23</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琼脂糖</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12</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微生物培养</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24</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DMSO（二甲基亚砜）</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细胞冻存/细胞增殖检测</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甘油</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微生物保存</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26</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磷酸氢二钠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缓冲液配制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27</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磷酸二氢钠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缓冲液配制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28</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磷酸二氢钾</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缓冲液配制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29</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磷酸氢二钾</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缓冲液配制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30</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氯化钠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缓冲液配制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31</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氯化钾</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缓冲液配制</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32</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细胞因子</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1mg/支</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支</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配制培养基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33</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EDTA-2Na（乙二胺四乙酸二钠）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配制缓冲液</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34</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MTT（噻唑蓝）</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细胞增殖检测</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35</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L-谷氨酰胺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配制培养基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38</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甲醇</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蛋白表达</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39</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吐温-20（聚氧乙烯失水山梨醇单月桂酸酯）</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ELISA检测</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40</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BSA（牛血清白蛋白）</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ELISA检测</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42</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TMB（3,3',5,5'-四甲基联苯胺）</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ELISA检测</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43</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Taq酶</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1mL/支</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支</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表达载体构建/工程菌构建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44</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dNTP</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1mL/支</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支</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表达载体构建/工程菌构建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45</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限制性内切酶</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500μl/支</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支</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表达载体构建/工程菌构建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46</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T4连接酶</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500μl/支</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支</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表达载体构建/工程菌构建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47</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Tris碱</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6</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48</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氢氧化钠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49</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SDS（十二烷基硫酸钠）</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醋酸钾</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51</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无水乙醇</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500mL/瓶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4</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表达载体构建</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52</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山梨醇</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微生物培养</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53</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YNB（无氨基酸酵母氮源）</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微生物培养</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54</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氨基酸</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100g/瓶</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瓶</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5</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微生物培养</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55</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SDS-PAEG蛋白电泳预制胶</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10块/盒</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盒</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30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蛋白检测</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84"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56</w:t>
                  </w:r>
                </w:p>
              </w:tc>
              <w:tc>
                <w:tcPr>
                  <w:tcW w:w="14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GST标签蛋白纯化试剂盒</w:t>
                  </w:r>
                </w:p>
              </w:tc>
              <w:tc>
                <w:tcPr>
                  <w:tcW w:w="679"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10次/盒</w:t>
                  </w:r>
                </w:p>
              </w:tc>
              <w:tc>
                <w:tcPr>
                  <w:tcW w:w="382"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盒</w:t>
                  </w:r>
                </w:p>
              </w:tc>
              <w:tc>
                <w:tcPr>
                  <w:tcW w:w="375" w:type="pct"/>
                  <w:gridSpan w:val="2"/>
                  <w:noWrap/>
                  <w:vAlign w:val="center"/>
                </w:tcPr>
                <w:p>
                  <w:pPr>
                    <w:widowControl/>
                    <w:spacing w:line="240" w:lineRule="exact"/>
                    <w:jc w:val="center"/>
                    <w:rPr>
                      <w:rFonts w:eastAsiaTheme="minorEastAsia"/>
                      <w:kern w:val="0"/>
                      <w:sz w:val="18"/>
                      <w:szCs w:val="18"/>
                    </w:rPr>
                  </w:pPr>
                  <w:r>
                    <w:rPr>
                      <w:rFonts w:eastAsiaTheme="minorEastAsia"/>
                      <w:kern w:val="0"/>
                      <w:sz w:val="18"/>
                      <w:szCs w:val="18"/>
                    </w:rPr>
                    <w:t>10</w:t>
                  </w:r>
                </w:p>
              </w:tc>
              <w:tc>
                <w:tcPr>
                  <w:tcW w:w="985" w:type="pct"/>
                  <w:gridSpan w:val="3"/>
                  <w:noWrap/>
                  <w:vAlign w:val="center"/>
                </w:tcPr>
                <w:p>
                  <w:pPr>
                    <w:widowControl/>
                    <w:spacing w:line="240" w:lineRule="exact"/>
                    <w:jc w:val="center"/>
                    <w:rPr>
                      <w:rFonts w:eastAsiaTheme="minorEastAsia"/>
                      <w:kern w:val="0"/>
                      <w:sz w:val="18"/>
                      <w:szCs w:val="18"/>
                    </w:rPr>
                  </w:pPr>
                  <w:r>
                    <w:rPr>
                      <w:rFonts w:eastAsiaTheme="minorEastAsia"/>
                      <w:kern w:val="0"/>
                      <w:sz w:val="18"/>
                      <w:szCs w:val="18"/>
                    </w:rPr>
                    <w:t>蛋白纯化</w:t>
                  </w:r>
                </w:p>
              </w:tc>
              <w:tc>
                <w:tcPr>
                  <w:tcW w:w="696" w:type="pct"/>
                  <w:noWrap/>
                  <w:vAlign w:val="center"/>
                </w:tcPr>
                <w:p>
                  <w:pPr>
                    <w:widowControl/>
                    <w:spacing w:line="240" w:lineRule="exact"/>
                    <w:jc w:val="center"/>
                    <w:rPr>
                      <w:rFonts w:eastAsiaTheme="minorEastAsia"/>
                      <w:kern w:val="0"/>
                      <w:sz w:val="18"/>
                      <w:szCs w:val="18"/>
                    </w:rPr>
                  </w:pPr>
                  <w:r>
                    <w:rPr>
                      <w:rFonts w:eastAsiaTheme="minorEastAsia"/>
                      <w:kern w:val="0"/>
                      <w:sz w:val="18"/>
                      <w:szCs w:val="18"/>
                    </w:rPr>
                    <w:t>2</w:t>
                  </w:r>
                </w:p>
              </w:tc>
            </w:tr>
          </w:tbl>
          <w:p>
            <w:pPr>
              <w:ind w:firstLine="420" w:firstLineChars="200"/>
              <w:jc w:val="center"/>
              <w:rPr>
                <w:rFonts w:eastAsia="黑体"/>
                <w:color w:val="000000" w:themeColor="text1"/>
                <w:szCs w:val="21"/>
                <w14:textFill>
                  <w14:solidFill>
                    <w14:schemeClr w14:val="tx1"/>
                  </w14:solidFill>
                </w14:textFill>
              </w:rPr>
            </w:pPr>
            <w:bookmarkStart w:id="4" w:name="_Ref51092185"/>
            <w:r>
              <w:rPr>
                <w:rFonts w:eastAsia="黑体"/>
                <w:color w:val="000000" w:themeColor="text1"/>
                <w:szCs w:val="21"/>
                <w14:textFill>
                  <w14:solidFill>
                    <w14:schemeClr w14:val="tx1"/>
                  </w14:solidFill>
                </w14:textFill>
              </w:rPr>
              <w:t>表2-5 主要化学品理化性质一览表</w:t>
            </w:r>
            <w:bookmarkEnd w:id="4"/>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395"/>
              <w:gridCol w:w="7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top w:val="single" w:color="auto" w:sz="12" w:space="0"/>
                    <w:left w:val="nil"/>
                    <w:bottom w:val="single" w:color="auto" w:sz="12" w:space="0"/>
                    <w:right w:val="single" w:color="auto" w:sz="6" w:space="0"/>
                  </w:tcBorders>
                  <w:shd w:val="clear" w:color="auto" w:fill="auto"/>
                  <w:vAlign w:val="center"/>
                </w:tcPr>
                <w:p>
                  <w:pPr>
                    <w:pStyle w:val="123"/>
                    <w:ind w:left="-105" w:leftChars="-50" w:right="-105" w:rightChars="-50"/>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770" w:type="pct"/>
                  <w:tcBorders>
                    <w:top w:val="single" w:color="auto" w:sz="12" w:space="0"/>
                    <w:left w:val="single" w:color="auto" w:sz="6" w:space="0"/>
                    <w:bottom w:val="single" w:color="auto" w:sz="12" w:space="0"/>
                    <w:right w:val="single" w:color="auto" w:sz="6" w:space="0"/>
                  </w:tcBorders>
                  <w:shd w:val="clear" w:color="auto" w:fill="auto"/>
                  <w:vAlign w:val="center"/>
                </w:tcPr>
                <w:p>
                  <w:pPr>
                    <w:pStyle w:val="123"/>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3951" w:type="pct"/>
                  <w:tcBorders>
                    <w:top w:val="single" w:color="auto" w:sz="12" w:space="0"/>
                    <w:left w:val="single" w:color="auto" w:sz="6" w:space="0"/>
                    <w:bottom w:val="single" w:color="auto" w:sz="12" w:space="0"/>
                    <w:right w:val="nil"/>
                  </w:tcBorders>
                  <w:shd w:val="clear" w:color="auto" w:fill="auto"/>
                  <w:vAlign w:val="center"/>
                </w:tcPr>
                <w:p>
                  <w:pPr>
                    <w:pStyle w:val="123"/>
                    <w:rPr>
                      <w:b/>
                      <w:bCs/>
                      <w:color w:val="000000" w:themeColor="text1"/>
                      <w14:textFill>
                        <w14:solidFill>
                          <w14:schemeClr w14:val="tx1"/>
                        </w14:solidFill>
                      </w14:textFill>
                    </w:rPr>
                  </w:pPr>
                  <w:r>
                    <w:rPr>
                      <w:b/>
                      <w:bCs/>
                      <w:color w:val="000000" w:themeColor="text1"/>
                      <w14:textFill>
                        <w14:solidFill>
                          <w14:schemeClr w14:val="tx1"/>
                        </w14:solidFill>
                      </w14:textFill>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top w:val="single" w:color="auto" w:sz="12" w:space="0"/>
                    <w:left w:val="nil"/>
                  </w:tcBorders>
                  <w:shd w:val="clear" w:color="auto" w:fill="auto"/>
                  <w:vAlign w:val="center"/>
                </w:tcPr>
                <w:p>
                  <w:pPr>
                    <w:pStyle w:val="123"/>
                  </w:pPr>
                  <w:r>
                    <w:t>1</w:t>
                  </w:r>
                </w:p>
              </w:tc>
              <w:tc>
                <w:tcPr>
                  <w:tcW w:w="770" w:type="pct"/>
                  <w:tcBorders>
                    <w:top w:val="single" w:color="auto" w:sz="12" w:space="0"/>
                  </w:tcBorders>
                  <w:shd w:val="clear" w:color="auto" w:fill="auto"/>
                  <w:vAlign w:val="center"/>
                </w:tcPr>
                <w:p>
                  <w:pPr>
                    <w:jc w:val="center"/>
                    <w:rPr>
                      <w:sz w:val="18"/>
                      <w:szCs w:val="21"/>
                    </w:rPr>
                  </w:pPr>
                  <w:r>
                    <w:rPr>
                      <w:sz w:val="18"/>
                      <w:szCs w:val="21"/>
                    </w:rPr>
                    <w:t>甘油</w:t>
                  </w:r>
                </w:p>
              </w:tc>
              <w:tc>
                <w:tcPr>
                  <w:tcW w:w="3951" w:type="pct"/>
                  <w:tcBorders>
                    <w:top w:val="single" w:color="auto" w:sz="12" w:space="0"/>
                    <w:right w:val="nil"/>
                  </w:tcBorders>
                  <w:shd w:val="clear" w:color="auto" w:fill="auto"/>
                  <w:vAlign w:val="center"/>
                </w:tcPr>
                <w:p>
                  <w:pPr>
                    <w:pStyle w:val="123"/>
                    <w:jc w:val="left"/>
                  </w:pPr>
                  <w:r>
                    <w:rPr>
                      <w:kern w:val="0"/>
                    </w:rPr>
                    <w:t>分子式：C</w:t>
                  </w:r>
                  <w:r>
                    <w:rPr>
                      <w:kern w:val="0"/>
                      <w:sz w:val="12"/>
                      <w:szCs w:val="12"/>
                    </w:rPr>
                    <w:t>3</w:t>
                  </w:r>
                  <w:r>
                    <w:rPr>
                      <w:kern w:val="0"/>
                    </w:rPr>
                    <w:t>H</w:t>
                  </w:r>
                  <w:r>
                    <w:rPr>
                      <w:kern w:val="0"/>
                      <w:sz w:val="12"/>
                      <w:szCs w:val="12"/>
                    </w:rPr>
                    <w:t>8</w:t>
                  </w:r>
                  <w:r>
                    <w:rPr>
                      <w:kern w:val="0"/>
                    </w:rPr>
                    <w:t>O</w:t>
                  </w:r>
                  <w:r>
                    <w:rPr>
                      <w:kern w:val="0"/>
                      <w:sz w:val="12"/>
                      <w:szCs w:val="12"/>
                    </w:rPr>
                    <w:t>3</w:t>
                  </w:r>
                  <w:r>
                    <w:rPr>
                      <w:kern w:val="0"/>
                    </w:rPr>
                    <w:t>，又称丙三醇。是无色味甜澄明黏稠液体。无臭。有暖甜味。俗称甘油，能从空气中吸收潮气，也能吸收硫化氢、氰化氢和二氧化硫。难溶于苯、氯仿、四氯化碳、二硫化碳、石油醚和油类。 相对密度 1.26362。 熔点 17.8℃。 沸点 290.0℃(分解)。折光率 1.4746。 闪点(开杯)176℃。</w:t>
                  </w:r>
                  <w:r>
                    <w:rPr>
                      <w:kern w:val="0"/>
                    </w:rPr>
                    <w:br w:type="textWrapping"/>
                  </w:r>
                  <w:r>
                    <w:rPr>
                      <w:kern w:val="0"/>
                    </w:rPr>
                    <w:t>急性毒性:LD50:31500 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2</w:t>
                  </w:r>
                </w:p>
              </w:tc>
              <w:tc>
                <w:tcPr>
                  <w:tcW w:w="770" w:type="pct"/>
                  <w:shd w:val="clear" w:color="auto" w:fill="auto"/>
                  <w:vAlign w:val="center"/>
                </w:tcPr>
                <w:p>
                  <w:pPr>
                    <w:jc w:val="center"/>
                    <w:rPr>
                      <w:sz w:val="18"/>
                      <w:szCs w:val="21"/>
                    </w:rPr>
                  </w:pPr>
                  <w:r>
                    <w:rPr>
                      <w:sz w:val="18"/>
                      <w:szCs w:val="21"/>
                    </w:rPr>
                    <w:t>吐温20</w:t>
                  </w:r>
                </w:p>
              </w:tc>
              <w:tc>
                <w:tcPr>
                  <w:tcW w:w="3951" w:type="pct"/>
                  <w:tcBorders>
                    <w:right w:val="nil"/>
                  </w:tcBorders>
                  <w:shd w:val="clear" w:color="auto" w:fill="auto"/>
                  <w:vAlign w:val="center"/>
                </w:tcPr>
                <w:p>
                  <w:pPr>
                    <w:pStyle w:val="123"/>
                    <w:jc w:val="left"/>
                  </w:pPr>
                  <w:r>
                    <w:rPr>
                      <w:kern w:val="0"/>
                    </w:rPr>
                    <w:t>分子式： C</w:t>
                  </w:r>
                  <w:r>
                    <w:rPr>
                      <w:kern w:val="0"/>
                      <w:sz w:val="12"/>
                      <w:szCs w:val="12"/>
                    </w:rPr>
                    <w:t>58</w:t>
                  </w:r>
                  <w:r>
                    <w:rPr>
                      <w:kern w:val="0"/>
                    </w:rPr>
                    <w:t>H</w:t>
                  </w:r>
                  <w:r>
                    <w:rPr>
                      <w:kern w:val="0"/>
                      <w:sz w:val="12"/>
                      <w:szCs w:val="12"/>
                    </w:rPr>
                    <w:t>114</w:t>
                  </w:r>
                  <w:r>
                    <w:rPr>
                      <w:kern w:val="0"/>
                    </w:rPr>
                    <w:t>O</w:t>
                  </w:r>
                  <w:r>
                    <w:rPr>
                      <w:kern w:val="0"/>
                      <w:sz w:val="12"/>
                      <w:szCs w:val="12"/>
                    </w:rPr>
                    <w:t>26</w:t>
                  </w:r>
                  <w:r>
                    <w:rPr>
                      <w:kern w:val="0"/>
                    </w:rPr>
                    <w:t>， 别名聚氧乙烯失水山梨醇单月桂酸酯。</w:t>
                  </w:r>
                  <w:r>
                    <w:rPr>
                      <w:kern w:val="0"/>
                    </w:rPr>
                    <w:br w:type="textWrapping"/>
                  </w:r>
                  <w:r>
                    <w:rPr>
                      <w:kern w:val="0"/>
                    </w:rPr>
                    <w:t>黄色或琥珀色澄明的油状液体， 具有特殊的臭气和微弱苦味。相对密度 1.01，沸点&gt;100℃， 闪点 321℃，折射率 1.472，粘度(25℃)0.25~0.40Pa·s。 分子中含有较多的亲水性基团，可与水、乙醇、甲醇和乙酸乙酯混溶，不溶于液状石蜡、不挥发油和轻石油，1份本品可溶于 130份棉籽油和 200 份甲苯中，5%水溶液 pH5~7。 HLB 值为 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3</w:t>
                  </w:r>
                </w:p>
              </w:tc>
              <w:tc>
                <w:tcPr>
                  <w:tcW w:w="770" w:type="pct"/>
                  <w:shd w:val="clear" w:color="auto" w:fill="auto"/>
                  <w:vAlign w:val="center"/>
                </w:tcPr>
                <w:p>
                  <w:pPr>
                    <w:jc w:val="center"/>
                    <w:rPr>
                      <w:sz w:val="18"/>
                      <w:szCs w:val="21"/>
                    </w:rPr>
                  </w:pPr>
                  <w:r>
                    <w:rPr>
                      <w:sz w:val="18"/>
                      <w:szCs w:val="21"/>
                    </w:rPr>
                    <w:t>BSA</w:t>
                  </w:r>
                </w:p>
              </w:tc>
              <w:tc>
                <w:tcPr>
                  <w:tcW w:w="3951" w:type="pct"/>
                  <w:tcBorders>
                    <w:right w:val="nil"/>
                  </w:tcBorders>
                  <w:shd w:val="clear" w:color="auto" w:fill="auto"/>
                  <w:vAlign w:val="center"/>
                </w:tcPr>
                <w:p>
                  <w:pPr>
                    <w:pStyle w:val="123"/>
                    <w:jc w:val="left"/>
                  </w:pPr>
                  <w:r>
                    <w:t>CAS 号 77-86-1，即牛血清白蛋白。</w:t>
                  </w:r>
                </w:p>
                <w:p>
                  <w:pPr>
                    <w:pStyle w:val="123"/>
                    <w:jc w:val="left"/>
                  </w:pPr>
                  <w:r>
                    <w:t>是牛血清中的一种球蛋白，包含583个氨基酸残基，分子量为 66.430 kDa，等电点为 4.7。血液中白蛋白主要起维持渗透压作用、pH缓冲作用、 载体作用和营养作用， 牛血清白蛋白在生化实验中有广泛的应用。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4</w:t>
                  </w:r>
                </w:p>
              </w:tc>
              <w:tc>
                <w:tcPr>
                  <w:tcW w:w="770" w:type="pct"/>
                  <w:shd w:val="clear" w:color="auto" w:fill="auto"/>
                  <w:vAlign w:val="center"/>
                </w:tcPr>
                <w:p>
                  <w:pPr>
                    <w:pStyle w:val="123"/>
                    <w:rPr>
                      <w:szCs w:val="21"/>
                    </w:rPr>
                  </w:pPr>
                  <w:r>
                    <w:rPr>
                      <w:szCs w:val="21"/>
                    </w:rPr>
                    <w:t>TMB</w:t>
                  </w:r>
                </w:p>
              </w:tc>
              <w:tc>
                <w:tcPr>
                  <w:tcW w:w="3951" w:type="pct"/>
                  <w:tcBorders>
                    <w:right w:val="nil"/>
                  </w:tcBorders>
                  <w:shd w:val="clear" w:color="auto" w:fill="auto"/>
                  <w:vAlign w:val="center"/>
                </w:tcPr>
                <w:p>
                  <w:pPr>
                    <w:pStyle w:val="123"/>
                    <w:jc w:val="left"/>
                  </w:pPr>
                  <w:r>
                    <w:rPr>
                      <w:kern w:val="0"/>
                    </w:rPr>
                    <w:t>CAS 号: 67-68-5， 分子式: C</w:t>
                  </w:r>
                  <w:r>
                    <w:rPr>
                      <w:kern w:val="0"/>
                      <w:sz w:val="12"/>
                      <w:szCs w:val="12"/>
                    </w:rPr>
                    <w:t>2</w:t>
                  </w:r>
                  <w:r>
                    <w:rPr>
                      <w:kern w:val="0"/>
                    </w:rPr>
                    <w:t>H</w:t>
                  </w:r>
                  <w:r>
                    <w:rPr>
                      <w:kern w:val="0"/>
                      <w:sz w:val="12"/>
                      <w:szCs w:val="12"/>
                    </w:rPr>
                    <w:t>6</w:t>
                  </w:r>
                  <w:r>
                    <w:rPr>
                      <w:kern w:val="0"/>
                    </w:rPr>
                    <w:t>OS， 又称 3,3',5,5'-四甲基联苯胺。</w:t>
                  </w:r>
                  <w:r>
                    <w:rPr>
                      <w:kern w:val="0"/>
                      <w:sz w:val="24"/>
                      <w:szCs w:val="24"/>
                    </w:rPr>
                    <w:br w:type="textWrapping"/>
                  </w:r>
                  <w:r>
                    <w:rPr>
                      <w:kern w:val="0"/>
                    </w:rPr>
                    <w:t>白色结晶粉末，无嗅、无味，难溶于水，易溶于丙酮、乙醚、二甲亚砜、二甲基甲酰胺等有机溶剂。 一种新型安全的色原试剂。应用于临床化验、 法医检验、 刑事侦破及环境监测等领域； 尤其是在临床生化检验方面。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5</w:t>
                  </w:r>
                </w:p>
              </w:tc>
              <w:tc>
                <w:tcPr>
                  <w:tcW w:w="770" w:type="pct"/>
                  <w:shd w:val="clear" w:color="auto" w:fill="auto"/>
                  <w:vAlign w:val="center"/>
                </w:tcPr>
                <w:p>
                  <w:pPr>
                    <w:pStyle w:val="123"/>
                  </w:pPr>
                  <w:r>
                    <w:rPr>
                      <w:szCs w:val="21"/>
                    </w:rPr>
                    <w:t>DMSO</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CAS号:54827-17-7，分子式:C</w:t>
                  </w:r>
                  <w:r>
                    <w:rPr>
                      <w:shd w:val="clear" w:color="auto" w:fill="FFFFFF"/>
                      <w:vertAlign w:val="subscript"/>
                    </w:rPr>
                    <w:t>16</w:t>
                  </w:r>
                  <w:r>
                    <w:rPr>
                      <w:shd w:val="clear" w:color="auto" w:fill="FFFFFF"/>
                    </w:rPr>
                    <w:t>H</w:t>
                  </w:r>
                  <w:r>
                    <w:rPr>
                      <w:shd w:val="clear" w:color="auto" w:fill="FFFFFF"/>
                      <w:vertAlign w:val="subscript"/>
                    </w:rPr>
                    <w:t>20</w:t>
                  </w:r>
                  <w:r>
                    <w:rPr>
                      <w:shd w:val="clear" w:color="auto" w:fill="FFFFFF"/>
                    </w:rPr>
                    <w:t>N</w:t>
                  </w:r>
                  <w:r>
                    <w:rPr>
                      <w:shd w:val="clear" w:color="auto" w:fill="FFFFFF"/>
                      <w:vertAlign w:val="subscript"/>
                    </w:rPr>
                    <w:t>2</w:t>
                  </w:r>
                  <w:r>
                    <w:rPr>
                      <w:shd w:val="clear" w:color="auto" w:fill="FFFFFF"/>
                    </w:rPr>
                    <w:t>，又称二甲基亚砜。</w:t>
                  </w:r>
                </w:p>
                <w:p>
                  <w:pPr>
                    <w:pStyle w:val="123"/>
                    <w:jc w:val="left"/>
                  </w:pPr>
                  <w:r>
                    <w:rPr>
                      <w:shd w:val="clear" w:color="auto" w:fill="FFFFFF"/>
                    </w:rPr>
                    <w:t>常温下为无色无臭的透明液体，是一种吸湿性的可燃液体，乎无臭。具有高极性、高沸点、热稳定性好、非质子、与水混溶的特性，能溶于乙醇、丙醇、苯和氯仿等大多数有机物，被誉为"万能溶剂"。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6</w:t>
                  </w:r>
                </w:p>
              </w:tc>
              <w:tc>
                <w:tcPr>
                  <w:tcW w:w="770" w:type="pct"/>
                  <w:shd w:val="clear" w:color="auto" w:fill="auto"/>
                  <w:vAlign w:val="center"/>
                </w:tcPr>
                <w:p>
                  <w:pPr>
                    <w:pStyle w:val="123"/>
                    <w:rPr>
                      <w:szCs w:val="21"/>
                    </w:rPr>
                  </w:pPr>
                  <w:r>
                    <w:rPr>
                      <w:szCs w:val="21"/>
                    </w:rPr>
                    <w:t>乙醇</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分子式：CH</w:t>
                  </w:r>
                  <w:r>
                    <w:rPr>
                      <w:shd w:val="clear" w:color="auto" w:fill="FFFFFF"/>
                      <w:vertAlign w:val="subscript"/>
                    </w:rPr>
                    <w:t>3</w:t>
                  </w:r>
                  <w:r>
                    <w:rPr>
                      <w:shd w:val="clear" w:color="auto" w:fill="FFFFFF"/>
                    </w:rPr>
                    <w:t>CH</w:t>
                  </w:r>
                  <w:r>
                    <w:rPr>
                      <w:shd w:val="clear" w:color="auto" w:fill="FFFFFF"/>
                      <w:vertAlign w:val="subscript"/>
                    </w:rPr>
                    <w:t>2</w:t>
                  </w:r>
                  <w:r>
                    <w:rPr>
                      <w:shd w:val="clear" w:color="auto" w:fill="FFFFFF"/>
                    </w:rPr>
                    <w:t>OH</w:t>
                  </w:r>
                </w:p>
                <w:p>
                  <w:pPr>
                    <w:pStyle w:val="123"/>
                    <w:jc w:val="left"/>
                    <w:rPr>
                      <w:shd w:val="clear" w:color="auto" w:fill="FFFFFF"/>
                    </w:rPr>
                  </w:pPr>
                  <w:r>
                    <w:rPr>
                      <w:shd w:val="clear" w:color="auto" w:fill="FFFFFF"/>
                    </w:rPr>
                    <w:t>乙醇是一种无色、透明，具有特殊香味的液体（易挥发），密度比水小，能跟水以任意比互溶（一般不能做萃取剂）。是一种重要的溶剂。乙醇易燃，其蒸气与空气可形成爆炸性混合物。遇明火、高热能引起燃烧爆炸。与氧化剂接触发生化学反应或引起燃烧。 在火场中，受热的容器有爆炸危险。其蒸气比空气重，能在较低处扩散到相当远的地方，遇明火会引着回燃。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7</w:t>
                  </w:r>
                </w:p>
              </w:tc>
              <w:tc>
                <w:tcPr>
                  <w:tcW w:w="770" w:type="pct"/>
                  <w:shd w:val="clear" w:color="auto" w:fill="auto"/>
                  <w:vAlign w:val="center"/>
                </w:tcPr>
                <w:p>
                  <w:pPr>
                    <w:pStyle w:val="123"/>
                    <w:rPr>
                      <w:szCs w:val="21"/>
                    </w:rPr>
                  </w:pPr>
                  <w:r>
                    <w:rPr>
                      <w:szCs w:val="21"/>
                    </w:rPr>
                    <w:t>甲醇</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分子式：CH</w:t>
                  </w:r>
                  <w:r>
                    <w:rPr>
                      <w:shd w:val="clear" w:color="auto" w:fill="FFFFFF"/>
                      <w:vertAlign w:val="subscript"/>
                    </w:rPr>
                    <w:t>3</w:t>
                  </w:r>
                  <w:r>
                    <w:rPr>
                      <w:shd w:val="clear" w:color="auto" w:fill="FFFFFF"/>
                    </w:rPr>
                    <w:t>OH。 又称“木醇”或“木精”。</w:t>
                  </w:r>
                </w:p>
                <w:p>
                  <w:pPr>
                    <w:pStyle w:val="123"/>
                    <w:jc w:val="left"/>
                    <w:rPr>
                      <w:shd w:val="clear" w:color="auto" w:fill="FFFFFF"/>
                    </w:rPr>
                  </w:pPr>
                  <w:r>
                    <w:rPr>
                      <w:shd w:val="clear" w:color="auto" w:fill="FFFFFF"/>
                    </w:rPr>
                    <w:t>是无色有酒精气味易挥发的液体。人口服中毒最低剂量约为 100mg/kg 体重，经口摄入0.3～1g/kg 可致死。用于制造甲醛和农药等，并用作有机物的萃取剂和酒精的变性剂等。通常由一氧化碳与氢气反应制得。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8</w:t>
                  </w:r>
                </w:p>
              </w:tc>
              <w:tc>
                <w:tcPr>
                  <w:tcW w:w="770" w:type="pct"/>
                  <w:shd w:val="clear" w:color="auto" w:fill="auto"/>
                  <w:vAlign w:val="center"/>
                </w:tcPr>
                <w:p>
                  <w:pPr>
                    <w:pStyle w:val="123"/>
                    <w:rPr>
                      <w:szCs w:val="21"/>
                    </w:rPr>
                  </w:pPr>
                  <w:r>
                    <w:rPr>
                      <w:szCs w:val="21"/>
                    </w:rPr>
                    <w:t>醋酸钾</w:t>
                  </w:r>
                </w:p>
              </w:tc>
              <w:tc>
                <w:tcPr>
                  <w:tcW w:w="3951" w:type="pct"/>
                  <w:tcBorders>
                    <w:right w:val="nil"/>
                  </w:tcBorders>
                  <w:shd w:val="clear" w:color="auto" w:fill="auto"/>
                  <w:vAlign w:val="center"/>
                </w:tcPr>
                <w:p>
                  <w:pPr>
                    <w:pStyle w:val="123"/>
                    <w:jc w:val="left"/>
                    <w:rPr>
                      <w:shd w:val="clear" w:color="auto" w:fill="FFFFFF"/>
                    </w:rPr>
                  </w:pPr>
                  <w:r>
                    <w:rPr>
                      <w:kern w:val="0"/>
                    </w:rPr>
                    <w:t>CAS 号:127-08-2，分子式： C</w:t>
                  </w:r>
                  <w:r>
                    <w:rPr>
                      <w:kern w:val="0"/>
                      <w:sz w:val="12"/>
                      <w:szCs w:val="12"/>
                    </w:rPr>
                    <w:t>2</w:t>
                  </w:r>
                  <w:r>
                    <w:rPr>
                      <w:kern w:val="0"/>
                    </w:rPr>
                    <w:t>H</w:t>
                  </w:r>
                  <w:r>
                    <w:rPr>
                      <w:kern w:val="0"/>
                      <w:sz w:val="12"/>
                      <w:szCs w:val="12"/>
                    </w:rPr>
                    <w:t>3</w:t>
                  </w:r>
                  <w:r>
                    <w:rPr>
                      <w:kern w:val="0"/>
                    </w:rPr>
                    <w:t>KO</w:t>
                  </w:r>
                  <w:r>
                    <w:rPr>
                      <w:kern w:val="0"/>
                      <w:sz w:val="12"/>
                      <w:szCs w:val="12"/>
                    </w:rPr>
                    <w:t>2</w:t>
                  </w:r>
                  <w:r>
                    <w:rPr>
                      <w:kern w:val="0"/>
                    </w:rPr>
                    <w:t>。</w:t>
                  </w:r>
                  <w:r>
                    <w:rPr>
                      <w:kern w:val="0"/>
                    </w:rPr>
                    <w:br w:type="textWrapping"/>
                  </w:r>
                  <w:r>
                    <w:rPr>
                      <w:kern w:val="0"/>
                    </w:rPr>
                    <w:t>无色或白色晶体，属单斜晶系。易潮解，具有咸苦味。溶于甲醇、乙醇、液氨，不溶于乙醚、丙酮。用作脱水剂、纤维处理剂和分析试剂。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9</w:t>
                  </w:r>
                </w:p>
              </w:tc>
              <w:tc>
                <w:tcPr>
                  <w:tcW w:w="770" w:type="pct"/>
                  <w:shd w:val="clear" w:color="auto" w:fill="auto"/>
                  <w:vAlign w:val="center"/>
                </w:tcPr>
                <w:p>
                  <w:pPr>
                    <w:pStyle w:val="123"/>
                    <w:rPr>
                      <w:szCs w:val="21"/>
                    </w:rPr>
                  </w:pPr>
                  <w:r>
                    <w:rPr>
                      <w:szCs w:val="21"/>
                    </w:rPr>
                    <w:t>丙烯酰胺</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CAS 号: 79-06-1， 分子式： C</w:t>
                  </w:r>
                  <w:r>
                    <w:rPr>
                      <w:shd w:val="clear" w:color="auto" w:fill="FFFFFF"/>
                      <w:vertAlign w:val="subscript"/>
                    </w:rPr>
                    <w:t>3</w:t>
                  </w:r>
                  <w:r>
                    <w:rPr>
                      <w:shd w:val="clear" w:color="auto" w:fill="FFFFFF"/>
                    </w:rPr>
                    <w:t>H</w:t>
                  </w:r>
                  <w:r>
                    <w:rPr>
                      <w:shd w:val="clear" w:color="auto" w:fill="FFFFFF"/>
                      <w:vertAlign w:val="subscript"/>
                    </w:rPr>
                    <w:t>5</w:t>
                  </w:r>
                  <w:r>
                    <w:rPr>
                      <w:shd w:val="clear" w:color="auto" w:fill="FFFFFF"/>
                    </w:rPr>
                    <w:t>NO。</w:t>
                  </w:r>
                </w:p>
                <w:p>
                  <w:pPr>
                    <w:pStyle w:val="123"/>
                    <w:jc w:val="left"/>
                    <w:rPr>
                      <w:shd w:val="clear" w:color="auto" w:fill="FFFFFF"/>
                    </w:rPr>
                  </w:pPr>
                  <w:r>
                    <w:rPr>
                      <w:shd w:val="clear" w:color="auto" w:fill="FFFFFF"/>
                    </w:rPr>
                    <w:t>白色结晶固体，无气味，溶于水、乙醇、乙醚、丙酮，不溶于苯。用于相对分子质量的测定。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10</w:t>
                  </w:r>
                </w:p>
              </w:tc>
              <w:tc>
                <w:tcPr>
                  <w:tcW w:w="770" w:type="pct"/>
                  <w:shd w:val="clear" w:color="auto" w:fill="auto"/>
                  <w:vAlign w:val="center"/>
                </w:tcPr>
                <w:p>
                  <w:pPr>
                    <w:pStyle w:val="123"/>
                    <w:rPr>
                      <w:szCs w:val="21"/>
                    </w:rPr>
                  </w:pPr>
                  <w:r>
                    <w:rPr>
                      <w:szCs w:val="21"/>
                    </w:rPr>
                    <w:t>过硫酸铵</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CAS 号:7727-54-0，分子式：(NH</w:t>
                  </w:r>
                  <w:r>
                    <w:rPr>
                      <w:shd w:val="clear" w:color="auto" w:fill="FFFFFF"/>
                      <w:vertAlign w:val="subscript"/>
                    </w:rPr>
                    <w:t>4</w:t>
                  </w:r>
                  <w:r>
                    <w:rPr>
                      <w:shd w:val="clear" w:color="auto" w:fill="FFFFFF"/>
                    </w:rPr>
                    <w:t>)</w:t>
                  </w:r>
                  <w:r>
                    <w:rPr>
                      <w:shd w:val="clear" w:color="auto" w:fill="FFFFFF"/>
                      <w:vertAlign w:val="subscript"/>
                    </w:rPr>
                    <w:t>2</w:t>
                  </w:r>
                  <w:r>
                    <w:rPr>
                      <w:shd w:val="clear" w:color="auto" w:fill="FFFFFF"/>
                    </w:rPr>
                    <w:t>S</w:t>
                  </w:r>
                  <w:r>
                    <w:rPr>
                      <w:shd w:val="clear" w:color="auto" w:fill="FFFFFF"/>
                      <w:vertAlign w:val="subscript"/>
                    </w:rPr>
                    <w:t>2</w:t>
                  </w:r>
                  <w:r>
                    <w:rPr>
                      <w:shd w:val="clear" w:color="auto" w:fill="FFFFFF"/>
                    </w:rPr>
                    <w:t>O</w:t>
                  </w:r>
                  <w:r>
                    <w:rPr>
                      <w:shd w:val="clear" w:color="auto" w:fill="FFFFFF"/>
                      <w:vertAlign w:val="subscript"/>
                    </w:rPr>
                    <w:t>8</w:t>
                  </w:r>
                  <w:r>
                    <w:rPr>
                      <w:shd w:val="clear" w:color="auto" w:fill="FFFFFF"/>
                    </w:rPr>
                    <w:t>。</w:t>
                  </w:r>
                </w:p>
                <w:p>
                  <w:pPr>
                    <w:pStyle w:val="123"/>
                    <w:jc w:val="left"/>
                    <w:rPr>
                      <w:shd w:val="clear" w:color="auto" w:fill="FFFFFF"/>
                    </w:rPr>
                  </w:pPr>
                  <w:r>
                    <w:rPr>
                      <w:shd w:val="clear" w:color="auto" w:fill="FFFFFF"/>
                    </w:rPr>
                    <w:t>白色结晶或粉末。无气味。干燥纯品能稳定数月，受潮时逐渐分解放出含臭氧的氧，加热则分解出氧气而成为焦硫酸铵。易溶于水，水溶液呈酸性，并在室温中逐渐分解，在较高温度时很快分解放出氧气，并生成硫酸氢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11</w:t>
                  </w:r>
                </w:p>
              </w:tc>
              <w:tc>
                <w:tcPr>
                  <w:tcW w:w="770" w:type="pct"/>
                  <w:shd w:val="clear" w:color="auto" w:fill="auto"/>
                  <w:vAlign w:val="center"/>
                </w:tcPr>
                <w:p>
                  <w:pPr>
                    <w:pStyle w:val="123"/>
                  </w:pPr>
                  <w:r>
                    <w:rPr>
                      <w:szCs w:val="21"/>
                    </w:rPr>
                    <w:t>氢氧化钠</w:t>
                  </w:r>
                </w:p>
              </w:tc>
              <w:tc>
                <w:tcPr>
                  <w:tcW w:w="3951" w:type="pct"/>
                  <w:tcBorders>
                    <w:right w:val="nil"/>
                  </w:tcBorders>
                  <w:shd w:val="clear" w:color="auto" w:fill="auto"/>
                  <w:vAlign w:val="center"/>
                </w:tcPr>
                <w:p>
                  <w:pPr>
                    <w:pStyle w:val="123"/>
                    <w:jc w:val="left"/>
                  </w:pPr>
                  <w:r>
                    <w:rPr>
                      <w:shd w:val="clear" w:color="auto" w:fill="FFFFFF"/>
                    </w:rPr>
                    <w:t>学式为 NaOH，俗称烧碱、火碱、苛性钠，为一种具有强腐蚀性的强碱，一般为片状或块状形态，易溶于水（溶于水时放热）并形成碱性溶液，另有潮解性。纯品是无色透明的晶体。密度2.130g/cm3。熔点318.4℃。沸点1390℃。包装容器要完整、密封，有明显的"腐蚀性物品"标志。严禁与易燃物或可燃物、酸类、食用化学品等混装混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12</w:t>
                  </w:r>
                </w:p>
              </w:tc>
              <w:tc>
                <w:tcPr>
                  <w:tcW w:w="770" w:type="pct"/>
                  <w:shd w:val="clear" w:color="auto" w:fill="auto"/>
                  <w:vAlign w:val="center"/>
                </w:tcPr>
                <w:p>
                  <w:pPr>
                    <w:pStyle w:val="123"/>
                    <w:rPr>
                      <w:szCs w:val="21"/>
                    </w:rPr>
                  </w:pPr>
                  <w:r>
                    <w:rPr>
                      <w:szCs w:val="21"/>
                    </w:rPr>
                    <w:t>磷酸氢二钠</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CAS 号：7558-79-4， 分子式： Na</w:t>
                  </w:r>
                  <w:r>
                    <w:rPr>
                      <w:shd w:val="clear" w:color="auto" w:fill="FFFFFF"/>
                      <w:vertAlign w:val="subscript"/>
                    </w:rPr>
                    <w:t>2</w:t>
                  </w:r>
                  <w:r>
                    <w:rPr>
                      <w:shd w:val="clear" w:color="auto" w:fill="FFFFFF"/>
                    </w:rPr>
                    <w:t>HPO</w:t>
                  </w:r>
                  <w:r>
                    <w:rPr>
                      <w:shd w:val="clear" w:color="auto" w:fill="FFFFFF"/>
                      <w:vertAlign w:val="subscript"/>
                    </w:rPr>
                    <w:t>4</w:t>
                  </w:r>
                  <w:r>
                    <w:rPr>
                      <w:shd w:val="clear" w:color="auto" w:fill="FFFFFF"/>
                    </w:rPr>
                    <w:t>。</w:t>
                  </w:r>
                </w:p>
                <w:p>
                  <w:pPr>
                    <w:pStyle w:val="123"/>
                    <w:jc w:val="left"/>
                    <w:rPr>
                      <w:shd w:val="clear" w:color="auto" w:fill="FFFFFF"/>
                    </w:rPr>
                  </w:pPr>
                  <w:r>
                    <w:rPr>
                      <w:shd w:val="clear" w:color="auto" w:fill="FFFFFF"/>
                    </w:rPr>
                    <w:t>白色固体，磷酸氢二钠在空气中易风化。</w:t>
                  </w:r>
                </w:p>
                <w:p>
                  <w:pPr>
                    <w:pStyle w:val="123"/>
                    <w:jc w:val="left"/>
                    <w:rPr>
                      <w:shd w:val="clear" w:color="auto" w:fill="FFFFFF"/>
                    </w:rPr>
                  </w:pPr>
                  <w:r>
                    <w:rPr>
                      <w:shd w:val="clear" w:color="auto" w:fill="FFFFFF"/>
                    </w:rPr>
                    <w:t>刺激眼睛、呼吸系统和皮肤。 对眼睛、 呼吸道和皮肤有刺激作用。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13</w:t>
                  </w:r>
                </w:p>
              </w:tc>
              <w:tc>
                <w:tcPr>
                  <w:tcW w:w="770" w:type="pct"/>
                  <w:shd w:val="clear" w:color="auto" w:fill="auto"/>
                  <w:vAlign w:val="center"/>
                </w:tcPr>
                <w:p>
                  <w:pPr>
                    <w:pStyle w:val="123"/>
                    <w:rPr>
                      <w:szCs w:val="21"/>
                    </w:rPr>
                  </w:pPr>
                  <w:r>
                    <w:rPr>
                      <w:szCs w:val="21"/>
                    </w:rPr>
                    <w:t>磷酸二氢钠</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分子式： NaH</w:t>
                  </w:r>
                  <w:r>
                    <w:rPr>
                      <w:shd w:val="clear" w:color="auto" w:fill="FFFFFF"/>
                      <w:vertAlign w:val="subscript"/>
                    </w:rPr>
                    <w:t>2</w:t>
                  </w:r>
                  <w:r>
                    <w:rPr>
                      <w:shd w:val="clear" w:color="auto" w:fill="FFFFFF"/>
                    </w:rPr>
                    <w:t>PO</w:t>
                  </w:r>
                  <w:r>
                    <w:rPr>
                      <w:shd w:val="clear" w:color="auto" w:fill="FFFFFF"/>
                      <w:vertAlign w:val="subscript"/>
                    </w:rPr>
                    <w:t>4</w:t>
                  </w:r>
                  <w:r>
                    <w:rPr>
                      <w:shd w:val="clear" w:color="auto" w:fill="FFFFFF"/>
                    </w:rPr>
                    <w:t>·2H</w:t>
                  </w:r>
                  <w:r>
                    <w:rPr>
                      <w:shd w:val="clear" w:color="auto" w:fill="FFFFFF"/>
                      <w:vertAlign w:val="subscript"/>
                    </w:rPr>
                    <w:t>2</w:t>
                  </w:r>
                  <w:r>
                    <w:rPr>
                      <w:shd w:val="clear" w:color="auto" w:fill="FFFFFF"/>
                    </w:rPr>
                    <w:t>O 和 NaH</w:t>
                  </w:r>
                  <w:r>
                    <w:rPr>
                      <w:shd w:val="clear" w:color="auto" w:fill="FFFFFF"/>
                      <w:vertAlign w:val="subscript"/>
                    </w:rPr>
                    <w:t>2</w:t>
                  </w:r>
                  <w:r>
                    <w:rPr>
                      <w:shd w:val="clear" w:color="auto" w:fill="FFFFFF"/>
                    </w:rPr>
                    <w:t>PO</w:t>
                  </w:r>
                  <w:r>
                    <w:rPr>
                      <w:shd w:val="clear" w:color="auto" w:fill="FFFFFF"/>
                      <w:vertAlign w:val="subscript"/>
                    </w:rPr>
                    <w:t>4</w:t>
                  </w:r>
                  <w:r>
                    <w:rPr>
                      <w:shd w:val="clear" w:color="auto" w:fill="FFFFFF"/>
                    </w:rPr>
                    <w:t>。</w:t>
                  </w:r>
                </w:p>
                <w:p>
                  <w:pPr>
                    <w:pStyle w:val="123"/>
                    <w:jc w:val="left"/>
                    <w:rPr>
                      <w:shd w:val="clear" w:color="auto" w:fill="FFFFFF"/>
                    </w:rPr>
                  </w:pPr>
                  <w:r>
                    <w:rPr>
                      <w:shd w:val="clear" w:color="auto" w:fill="FFFFFF"/>
                    </w:rPr>
                    <w:t>无色结晶或白色结晶性粉末。 无臭，味咸，酸。热至100℃失去全部结晶水，灼热变成偏磷酸钠。易溶于水，几乎不溶于乙醇，其水溶液呈酸性。</w:t>
                  </w:r>
                </w:p>
                <w:p>
                  <w:pPr>
                    <w:pStyle w:val="123"/>
                    <w:jc w:val="left"/>
                    <w:rPr>
                      <w:shd w:val="clear" w:color="auto" w:fill="FFFFFF"/>
                    </w:rPr>
                  </w:pPr>
                  <w:r>
                    <w:rPr>
                      <w:shd w:val="clear" w:color="auto" w:fill="FFFFFF"/>
                    </w:rPr>
                    <w:t>小鼠腹腔注射LD50为250mg/kg，ADI为 0-70mg/kg。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14</w:t>
                  </w:r>
                </w:p>
              </w:tc>
              <w:tc>
                <w:tcPr>
                  <w:tcW w:w="770" w:type="pct"/>
                  <w:shd w:val="clear" w:color="auto" w:fill="auto"/>
                  <w:vAlign w:val="center"/>
                </w:tcPr>
                <w:p>
                  <w:pPr>
                    <w:pStyle w:val="123"/>
                    <w:rPr>
                      <w:szCs w:val="21"/>
                    </w:rPr>
                  </w:pPr>
                  <w:r>
                    <w:rPr>
                      <w:szCs w:val="21"/>
                    </w:rPr>
                    <w:t>磷酸氢二钾</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分子式： K</w:t>
                  </w:r>
                  <w:r>
                    <w:rPr>
                      <w:shd w:val="clear" w:color="auto" w:fill="FFFFFF"/>
                      <w:vertAlign w:val="subscript"/>
                    </w:rPr>
                    <w:t>2</w:t>
                  </w:r>
                  <w:r>
                    <w:rPr>
                      <w:shd w:val="clear" w:color="auto" w:fill="FFFFFF"/>
                    </w:rPr>
                    <w:t>HPO</w:t>
                  </w:r>
                  <w:r>
                    <w:rPr>
                      <w:shd w:val="clear" w:color="auto" w:fill="FFFFFF"/>
                      <w:vertAlign w:val="subscript"/>
                    </w:rPr>
                    <w:t>4</w:t>
                  </w:r>
                  <w:r>
                    <w:rPr>
                      <w:shd w:val="clear" w:color="auto" w:fill="FFFFFF"/>
                    </w:rPr>
                    <w:t>。</w:t>
                  </w:r>
                </w:p>
                <w:p>
                  <w:pPr>
                    <w:pStyle w:val="123"/>
                    <w:jc w:val="left"/>
                    <w:rPr>
                      <w:shd w:val="clear" w:color="auto" w:fill="FFFFFF"/>
                    </w:rPr>
                  </w:pPr>
                  <w:r>
                    <w:rPr>
                      <w:shd w:val="clear" w:color="auto" w:fill="FFFFFF"/>
                    </w:rPr>
                    <w:t>白色结晶或无定形白色粉末，易溶于水，水溶液呈微碱性，微溶于醇，有吸湿性，主要用于医药，发酵，细菌培养及制取焦磷酸钾等。刺激眼睛、呼吸系统和皮肤。对眼睛、呼吸道和皮肤有刺激作用。</w:t>
                  </w:r>
                </w:p>
                <w:p>
                  <w:pPr>
                    <w:pStyle w:val="123"/>
                    <w:jc w:val="left"/>
                    <w:rPr>
                      <w:shd w:val="clear" w:color="auto" w:fill="FFFFFF"/>
                    </w:rPr>
                  </w:pPr>
                  <w:r>
                    <w:rPr>
                      <w:shd w:val="clear" w:color="auto" w:fill="FFFFFF"/>
                    </w:rPr>
                    <w:t>急性毒性：LD50：4000mg/Kg（大鼠经口）；4720mg/Kg（兔经皮）；</w:t>
                  </w:r>
                </w:p>
                <w:p>
                  <w:pPr>
                    <w:pStyle w:val="123"/>
                    <w:jc w:val="left"/>
                    <w:rPr>
                      <w:shd w:val="clear" w:color="auto" w:fill="FFFFFF"/>
                    </w:rPr>
                  </w:pPr>
                  <w:r>
                    <w:rPr>
                      <w:shd w:val="clear" w:color="auto" w:fill="FFFFFF"/>
                    </w:rPr>
                    <w:t>LC50：9400mg/m</w:t>
                  </w:r>
                  <w:r>
                    <w:rPr>
                      <w:shd w:val="clear" w:color="auto" w:fill="FFFFFF"/>
                      <w:vertAlign w:val="superscript"/>
                    </w:rPr>
                    <w:t>3</w:t>
                  </w:r>
                  <w:r>
                    <w:rPr>
                      <w:shd w:val="clear" w:color="auto" w:fill="FFFFFF"/>
                    </w:rPr>
                    <w:t>，2 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15</w:t>
                  </w:r>
                </w:p>
              </w:tc>
              <w:tc>
                <w:tcPr>
                  <w:tcW w:w="770" w:type="pct"/>
                  <w:shd w:val="clear" w:color="auto" w:fill="auto"/>
                  <w:vAlign w:val="center"/>
                </w:tcPr>
                <w:p>
                  <w:pPr>
                    <w:pStyle w:val="123"/>
                    <w:rPr>
                      <w:szCs w:val="21"/>
                    </w:rPr>
                  </w:pPr>
                  <w:r>
                    <w:rPr>
                      <w:szCs w:val="21"/>
                    </w:rPr>
                    <w:t>磷酸二氢钾</w:t>
                  </w:r>
                </w:p>
              </w:tc>
              <w:tc>
                <w:tcPr>
                  <w:tcW w:w="3951" w:type="pct"/>
                  <w:tcBorders>
                    <w:right w:val="nil"/>
                  </w:tcBorders>
                  <w:shd w:val="clear" w:color="auto" w:fill="auto"/>
                  <w:vAlign w:val="center"/>
                </w:tcPr>
                <w:p>
                  <w:pPr>
                    <w:pStyle w:val="123"/>
                    <w:jc w:val="left"/>
                    <w:rPr>
                      <w:shd w:val="clear" w:color="auto" w:fill="FFFFFF"/>
                    </w:rPr>
                  </w:pPr>
                  <w:r>
                    <w:rPr>
                      <w:kern w:val="0"/>
                    </w:rPr>
                    <w:t xml:space="preserve">分子式： </w:t>
                  </w:r>
                  <w:r>
                    <w:rPr>
                      <w:shd w:val="clear" w:color="auto" w:fill="FFFFFF"/>
                    </w:rPr>
                    <w:t>KH</w:t>
                  </w:r>
                  <w:r>
                    <w:rPr>
                      <w:shd w:val="clear" w:color="auto" w:fill="FFFFFF"/>
                      <w:vertAlign w:val="subscript"/>
                    </w:rPr>
                    <w:t>2</w:t>
                  </w:r>
                  <w:r>
                    <w:rPr>
                      <w:shd w:val="clear" w:color="auto" w:fill="FFFFFF"/>
                    </w:rPr>
                    <w:t>PO</w:t>
                  </w:r>
                  <w:r>
                    <w:rPr>
                      <w:shd w:val="clear" w:color="auto" w:fill="FFFFFF"/>
                      <w:vertAlign w:val="subscript"/>
                    </w:rPr>
                    <w:t>4</w:t>
                  </w:r>
                  <w:r>
                    <w:rPr>
                      <w:shd w:val="clear" w:color="auto" w:fill="FFFFFF"/>
                    </w:rPr>
                    <w:t>。</w:t>
                  </w:r>
                  <w:r>
                    <w:rPr>
                      <w:kern w:val="0"/>
                    </w:rPr>
                    <w:br w:type="textWrapping"/>
                  </w:r>
                  <w:r>
                    <w:rPr>
                      <w:kern w:val="0"/>
                    </w:rPr>
                    <w:t>无磷酸二氢钾，是无色四方晶体或白色结晶性粉末。相对密度2.338。熔点252.6℃。 易溶于水， 90℃时，溶解度为83.5g/100ml 水， 水溶液呈酸性，1%磷酸二氢钾溶液的 pH值为4.6。不溶于醇。 有潮解性。加热至 400℃时熔化而成透明的液体，冷却后固化为不透明的玻璃状偏磷酸钾。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tcBorders>
                  <w:shd w:val="clear" w:color="auto" w:fill="auto"/>
                  <w:vAlign w:val="center"/>
                </w:tcPr>
                <w:p>
                  <w:pPr>
                    <w:pStyle w:val="123"/>
                  </w:pPr>
                  <w:r>
                    <w:t>16</w:t>
                  </w:r>
                </w:p>
              </w:tc>
              <w:tc>
                <w:tcPr>
                  <w:tcW w:w="770" w:type="pct"/>
                  <w:shd w:val="clear" w:color="auto" w:fill="auto"/>
                  <w:vAlign w:val="center"/>
                </w:tcPr>
                <w:p>
                  <w:pPr>
                    <w:pStyle w:val="123"/>
                    <w:rPr>
                      <w:szCs w:val="21"/>
                    </w:rPr>
                  </w:pPr>
                  <w:r>
                    <w:rPr>
                      <w:szCs w:val="21"/>
                    </w:rPr>
                    <w:t>氯化钠</w:t>
                  </w:r>
                </w:p>
              </w:tc>
              <w:tc>
                <w:tcPr>
                  <w:tcW w:w="3951" w:type="pct"/>
                  <w:tcBorders>
                    <w:right w:val="nil"/>
                  </w:tcBorders>
                  <w:shd w:val="clear" w:color="auto" w:fill="auto"/>
                  <w:vAlign w:val="center"/>
                </w:tcPr>
                <w:p>
                  <w:pPr>
                    <w:pStyle w:val="123"/>
                    <w:jc w:val="left"/>
                    <w:rPr>
                      <w:shd w:val="clear" w:color="auto" w:fill="FFFFFF"/>
                    </w:rPr>
                  </w:pPr>
                  <w:r>
                    <w:rPr>
                      <w:shd w:val="clear" w:color="auto" w:fill="FFFFFF"/>
                    </w:rPr>
                    <w:t>分子式：NaCl</w:t>
                  </w:r>
                </w:p>
                <w:p>
                  <w:pPr>
                    <w:pStyle w:val="123"/>
                    <w:jc w:val="left"/>
                    <w:rPr>
                      <w:shd w:val="clear" w:color="auto" w:fill="FFFFFF"/>
                    </w:rPr>
                  </w:pPr>
                  <w:r>
                    <w:rPr>
                      <w:shd w:val="clear" w:color="auto" w:fill="FFFFFF"/>
                    </w:rPr>
                    <w:t>白色晶体状，其来源主要是在海水中，是食盐的主要成分。易溶于水、甘油，微溶于乙醇、液氨；不溶于浓盐酸。在空气中微有潮解性。稳定性比较好，工业上用于制造纯碱和烧碱及其他化工产品，矿石冶炼，生活上可用于调味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79" w:type="pct"/>
                  <w:tcBorders>
                    <w:left w:val="nil"/>
                    <w:bottom w:val="single" w:color="auto" w:sz="12" w:space="0"/>
                  </w:tcBorders>
                  <w:shd w:val="clear" w:color="auto" w:fill="auto"/>
                  <w:vAlign w:val="center"/>
                </w:tcPr>
                <w:p>
                  <w:pPr>
                    <w:pStyle w:val="123"/>
                  </w:pPr>
                  <w:r>
                    <w:t>17</w:t>
                  </w:r>
                </w:p>
              </w:tc>
              <w:tc>
                <w:tcPr>
                  <w:tcW w:w="770" w:type="pct"/>
                  <w:tcBorders>
                    <w:bottom w:val="single" w:color="auto" w:sz="12" w:space="0"/>
                  </w:tcBorders>
                  <w:shd w:val="clear" w:color="auto" w:fill="auto"/>
                  <w:vAlign w:val="center"/>
                </w:tcPr>
                <w:p>
                  <w:pPr>
                    <w:pStyle w:val="123"/>
                    <w:rPr>
                      <w:szCs w:val="21"/>
                    </w:rPr>
                  </w:pPr>
                  <w:r>
                    <w:rPr>
                      <w:szCs w:val="21"/>
                    </w:rPr>
                    <w:t>氯化钾</w:t>
                  </w:r>
                </w:p>
              </w:tc>
              <w:tc>
                <w:tcPr>
                  <w:tcW w:w="3951" w:type="pct"/>
                  <w:tcBorders>
                    <w:bottom w:val="single" w:color="auto" w:sz="12" w:space="0"/>
                    <w:right w:val="nil"/>
                  </w:tcBorders>
                  <w:shd w:val="clear" w:color="auto" w:fill="auto"/>
                  <w:vAlign w:val="center"/>
                </w:tcPr>
                <w:p>
                  <w:pPr>
                    <w:pStyle w:val="123"/>
                    <w:jc w:val="left"/>
                    <w:rPr>
                      <w:shd w:val="clear" w:color="auto" w:fill="FFFFFF"/>
                    </w:rPr>
                  </w:pPr>
                  <w:r>
                    <w:rPr>
                      <w:shd w:val="clear" w:color="auto" w:fill="FFFFFF"/>
                    </w:rPr>
                    <w:t>CAS 号 7447-40-7，分子式：KCl。</w:t>
                  </w:r>
                </w:p>
                <w:p>
                  <w:pPr>
                    <w:pStyle w:val="123"/>
                    <w:jc w:val="left"/>
                    <w:rPr>
                      <w:shd w:val="clear" w:color="auto" w:fill="FFFFFF"/>
                    </w:rPr>
                  </w:pPr>
                  <w:r>
                    <w:rPr>
                      <w:shd w:val="clear" w:color="auto" w:fill="FFFFFF"/>
                    </w:rPr>
                    <w:t>无色细长菱形或成一立方晶体，或白色结晶小颗粒粉末，外观如同食盐，无臭、味咸。 常用于低钠盐、矿物质水的添加剂。氯化钾是临床常用的电解质平衡调节药，临床疗效确切，广泛运用于临床各科。</w:t>
                  </w:r>
                </w:p>
              </w:tc>
            </w:tr>
          </w:tbl>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2.6水平衡</w:t>
            </w:r>
          </w:p>
          <w:p>
            <w:pPr>
              <w:spacing w:line="360" w:lineRule="auto"/>
              <w:ind w:firstLine="480" w:firstLineChars="200"/>
              <w:rPr>
                <w:color w:val="000000" w:themeColor="text1"/>
                <w:sz w:val="24"/>
                <w14:textFill>
                  <w14:solidFill>
                    <w14:schemeClr w14:val="tx1"/>
                  </w14:solidFill>
                </w14:textFill>
              </w:rPr>
            </w:pPr>
            <w:r>
              <w:rPr>
                <w:bCs/>
                <w:sz w:val="24"/>
              </w:rPr>
              <w:t>项目用水依托园区给水管网供给，项目用水主要为办公生活用水、研发用水、地面清洁用水、器皿清洗用水和纯化水制备用水等。经现场调查，项目日用水量约为18.0m</w:t>
            </w:r>
            <w:r>
              <w:rPr>
                <w:bCs/>
                <w:sz w:val="24"/>
                <w:vertAlign w:val="superscript"/>
              </w:rPr>
              <w:t>3</w:t>
            </w:r>
            <w:r>
              <w:rPr>
                <w:bCs/>
                <w:sz w:val="24"/>
              </w:rPr>
              <w:t>。项目</w:t>
            </w:r>
            <w:r>
              <w:rPr>
                <w:color w:val="000000" w:themeColor="text1"/>
                <w:sz w:val="24"/>
                <w14:textFill>
                  <w14:solidFill>
                    <w14:schemeClr w14:val="tx1"/>
                  </w14:solidFill>
                </w14:textFill>
              </w:rPr>
              <w:t>产生的污水主要是生活污水与研发废水（主要为地面清洗废水、器皿</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经高压灭菌后</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清洗废水、工衣清洗废水和纯水制备过程中产生的浓水），</w:t>
            </w:r>
            <w:r>
              <w:rPr>
                <w:sz w:val="24"/>
              </w:rPr>
              <w:t>经C4栋内排水管网排入园区内化粪池处理后，再进入园区污水处理站处理，处理达标后排入市政管网，进入豹澥污水处理厂，处理达标后外排长江武汉段</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日用水平衡表见表2-6，日用水平衡图2-3。</w:t>
            </w:r>
          </w:p>
          <w:p>
            <w:pPr>
              <w:pStyle w:val="2"/>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pStyle w:val="2"/>
              <w:rPr>
                <w:color w:val="000000" w:themeColor="text1"/>
                <w:sz w:val="24"/>
                <w14:textFill>
                  <w14:solidFill>
                    <w14:schemeClr w14:val="tx1"/>
                  </w14:solidFill>
                </w14:textFill>
              </w:rPr>
            </w:pPr>
          </w:p>
          <w:p>
            <w:pPr>
              <w:ind w:firstLine="420" w:firstLineChars="200"/>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表2-6 项目日用水平衡表</w:t>
            </w:r>
          </w:p>
          <w:tbl>
            <w:tblPr>
              <w:tblStyle w:val="29"/>
              <w:tblW w:w="9040" w:type="dxa"/>
              <w:tblInd w:w="0" w:type="dxa"/>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PrEx>
              <w:trPr>
                <w:trHeight w:val="7922" w:hRule="atLeast"/>
              </w:trPr>
              <w:tc>
                <w:tcPr>
                  <w:tcW w:w="9040" w:type="dxa"/>
                  <w:tcBorders>
                    <w:tl2br w:val="nil"/>
                    <w:tr2bl w:val="nil"/>
                  </w:tcBorders>
                  <w:vAlign w:val="center"/>
                </w:tcPr>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073"/>
                    <w:gridCol w:w="1073"/>
                    <w:gridCol w:w="1075"/>
                    <w:gridCol w:w="1075"/>
                    <w:gridCol w:w="1237"/>
                    <w:gridCol w:w="999"/>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restart"/>
                        <w:shd w:val="clear" w:color="auto" w:fill="auto"/>
                        <w:noWrap/>
                        <w:vAlign w:val="center"/>
                      </w:tcPr>
                      <w:p>
                        <w:pPr>
                          <w:widowControl/>
                          <w:jc w:val="center"/>
                          <w:rPr>
                            <w:b/>
                            <w:bCs/>
                            <w:kern w:val="0"/>
                            <w:sz w:val="18"/>
                            <w:szCs w:val="18"/>
                          </w:rPr>
                        </w:pPr>
                        <w:r>
                          <w:rPr>
                            <w:b/>
                            <w:bCs/>
                            <w:kern w:val="0"/>
                            <w:sz w:val="18"/>
                            <w:szCs w:val="18"/>
                          </w:rPr>
                          <w:t>用水类型</w:t>
                        </w:r>
                      </w:p>
                    </w:tc>
                    <w:tc>
                      <w:tcPr>
                        <w:tcW w:w="1824" w:type="pct"/>
                        <w:gridSpan w:val="3"/>
                        <w:shd w:val="clear" w:color="auto" w:fill="auto"/>
                        <w:noWrap/>
                        <w:vAlign w:val="center"/>
                      </w:tcPr>
                      <w:p>
                        <w:pPr>
                          <w:widowControl/>
                          <w:jc w:val="center"/>
                          <w:rPr>
                            <w:b/>
                            <w:bCs/>
                            <w:kern w:val="0"/>
                            <w:sz w:val="18"/>
                            <w:szCs w:val="18"/>
                          </w:rPr>
                        </w:pPr>
                        <w:r>
                          <w:rPr>
                            <w:b/>
                            <w:bCs/>
                            <w:kern w:val="0"/>
                            <w:sz w:val="18"/>
                            <w:szCs w:val="18"/>
                          </w:rPr>
                          <w:t>给水（m</w:t>
                        </w:r>
                        <w:r>
                          <w:rPr>
                            <w:b/>
                            <w:bCs/>
                            <w:kern w:val="0"/>
                            <w:sz w:val="18"/>
                            <w:szCs w:val="18"/>
                            <w:vertAlign w:val="superscript"/>
                          </w:rPr>
                          <w:t>3</w:t>
                        </w:r>
                        <w:r>
                          <w:rPr>
                            <w:b/>
                            <w:bCs/>
                            <w:kern w:val="0"/>
                            <w:sz w:val="18"/>
                            <w:szCs w:val="18"/>
                          </w:rPr>
                          <w:t>/d）</w:t>
                        </w:r>
                      </w:p>
                    </w:tc>
                    <w:tc>
                      <w:tcPr>
                        <w:tcW w:w="609" w:type="pct"/>
                        <w:vMerge w:val="restart"/>
                        <w:shd w:val="clear" w:color="auto" w:fill="auto"/>
                        <w:noWrap/>
                        <w:vAlign w:val="center"/>
                      </w:tcPr>
                      <w:p>
                        <w:pPr>
                          <w:widowControl/>
                          <w:jc w:val="center"/>
                          <w:rPr>
                            <w:b/>
                            <w:bCs/>
                            <w:kern w:val="0"/>
                            <w:sz w:val="18"/>
                            <w:szCs w:val="18"/>
                          </w:rPr>
                        </w:pPr>
                        <w:r>
                          <w:rPr>
                            <w:b/>
                            <w:bCs/>
                            <w:kern w:val="0"/>
                            <w:sz w:val="18"/>
                            <w:szCs w:val="18"/>
                          </w:rPr>
                          <w:t>损耗水</w:t>
                        </w:r>
                      </w:p>
                      <w:p>
                        <w:pPr>
                          <w:widowControl/>
                          <w:jc w:val="center"/>
                          <w:rPr>
                            <w:b/>
                            <w:bCs/>
                            <w:kern w:val="0"/>
                            <w:sz w:val="18"/>
                            <w:szCs w:val="18"/>
                          </w:rPr>
                        </w:pPr>
                        <w:r>
                          <w:rPr>
                            <w:b/>
                            <w:bCs/>
                            <w:kern w:val="0"/>
                            <w:sz w:val="18"/>
                            <w:szCs w:val="18"/>
                          </w:rPr>
                          <w:t>（m</w:t>
                        </w:r>
                        <w:r>
                          <w:rPr>
                            <w:b/>
                            <w:bCs/>
                            <w:kern w:val="0"/>
                            <w:sz w:val="18"/>
                            <w:szCs w:val="18"/>
                            <w:vertAlign w:val="superscript"/>
                          </w:rPr>
                          <w:t>3</w:t>
                        </w:r>
                        <w:r>
                          <w:rPr>
                            <w:b/>
                            <w:bCs/>
                            <w:kern w:val="0"/>
                            <w:sz w:val="18"/>
                            <w:szCs w:val="18"/>
                          </w:rPr>
                          <w:t>/a）</w:t>
                        </w:r>
                      </w:p>
                    </w:tc>
                    <w:tc>
                      <w:tcPr>
                        <w:tcW w:w="1826" w:type="pct"/>
                        <w:gridSpan w:val="3"/>
                        <w:shd w:val="clear" w:color="auto" w:fill="auto"/>
                        <w:noWrap/>
                        <w:vAlign w:val="center"/>
                      </w:tcPr>
                      <w:p>
                        <w:pPr>
                          <w:widowControl/>
                          <w:jc w:val="center"/>
                          <w:rPr>
                            <w:b/>
                            <w:bCs/>
                            <w:kern w:val="0"/>
                            <w:sz w:val="18"/>
                            <w:szCs w:val="18"/>
                          </w:rPr>
                        </w:pPr>
                        <w:r>
                          <w:rPr>
                            <w:b/>
                            <w:bCs/>
                            <w:kern w:val="0"/>
                            <w:sz w:val="18"/>
                            <w:szCs w:val="18"/>
                          </w:rPr>
                          <w:t>排水（m</w:t>
                        </w:r>
                        <w:r>
                          <w:rPr>
                            <w:b/>
                            <w:bCs/>
                            <w:kern w:val="0"/>
                            <w:sz w:val="18"/>
                            <w:szCs w:val="18"/>
                            <w:vertAlign w:val="superscript"/>
                          </w:rPr>
                          <w:t>3</w:t>
                        </w:r>
                        <w:r>
                          <w:rPr>
                            <w:b/>
                            <w:bCs/>
                            <w:kern w:val="0"/>
                            <w:sz w:val="18"/>
                            <w:szCs w:val="18"/>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vMerge w:val="continue"/>
                        <w:tcBorders>
                          <w:bottom w:val="single" w:color="auto" w:sz="12" w:space="0"/>
                        </w:tcBorders>
                        <w:vAlign w:val="center"/>
                      </w:tcPr>
                      <w:p>
                        <w:pPr>
                          <w:widowControl/>
                          <w:jc w:val="left"/>
                          <w:rPr>
                            <w:b/>
                            <w:bCs/>
                            <w:kern w:val="0"/>
                            <w:sz w:val="18"/>
                            <w:szCs w:val="18"/>
                          </w:rPr>
                        </w:pPr>
                      </w:p>
                    </w:tc>
                    <w:tc>
                      <w:tcPr>
                        <w:tcW w:w="608" w:type="pct"/>
                        <w:tcBorders>
                          <w:bottom w:val="single" w:color="auto" w:sz="12" w:space="0"/>
                        </w:tcBorders>
                        <w:shd w:val="clear" w:color="auto" w:fill="auto"/>
                        <w:noWrap/>
                        <w:vAlign w:val="center"/>
                      </w:tcPr>
                      <w:p>
                        <w:pPr>
                          <w:widowControl/>
                          <w:jc w:val="center"/>
                          <w:rPr>
                            <w:b/>
                            <w:bCs/>
                            <w:kern w:val="0"/>
                            <w:sz w:val="18"/>
                            <w:szCs w:val="18"/>
                          </w:rPr>
                        </w:pPr>
                        <w:r>
                          <w:rPr>
                            <w:b/>
                            <w:bCs/>
                            <w:kern w:val="0"/>
                            <w:sz w:val="18"/>
                            <w:szCs w:val="18"/>
                          </w:rPr>
                          <w:t>用水量</w:t>
                        </w:r>
                      </w:p>
                    </w:tc>
                    <w:tc>
                      <w:tcPr>
                        <w:tcW w:w="608" w:type="pct"/>
                        <w:tcBorders>
                          <w:bottom w:val="single" w:color="auto" w:sz="12" w:space="0"/>
                        </w:tcBorders>
                        <w:shd w:val="clear" w:color="auto" w:fill="auto"/>
                        <w:noWrap/>
                        <w:vAlign w:val="center"/>
                      </w:tcPr>
                      <w:p>
                        <w:pPr>
                          <w:widowControl/>
                          <w:jc w:val="center"/>
                          <w:rPr>
                            <w:b/>
                            <w:bCs/>
                            <w:kern w:val="0"/>
                            <w:sz w:val="18"/>
                            <w:szCs w:val="18"/>
                          </w:rPr>
                        </w:pPr>
                        <w:r>
                          <w:rPr>
                            <w:b/>
                            <w:bCs/>
                            <w:kern w:val="0"/>
                            <w:sz w:val="18"/>
                            <w:szCs w:val="18"/>
                          </w:rPr>
                          <w:t>新鲜水</w:t>
                        </w:r>
                      </w:p>
                    </w:tc>
                    <w:tc>
                      <w:tcPr>
                        <w:tcW w:w="609" w:type="pct"/>
                        <w:tcBorders>
                          <w:bottom w:val="single" w:color="auto" w:sz="12" w:space="0"/>
                        </w:tcBorders>
                        <w:shd w:val="clear" w:color="auto" w:fill="auto"/>
                        <w:noWrap/>
                        <w:vAlign w:val="center"/>
                      </w:tcPr>
                      <w:p>
                        <w:pPr>
                          <w:widowControl/>
                          <w:jc w:val="center"/>
                          <w:rPr>
                            <w:b/>
                            <w:bCs/>
                            <w:kern w:val="0"/>
                            <w:sz w:val="18"/>
                            <w:szCs w:val="18"/>
                          </w:rPr>
                        </w:pPr>
                        <w:r>
                          <w:rPr>
                            <w:b/>
                            <w:bCs/>
                            <w:kern w:val="0"/>
                            <w:sz w:val="18"/>
                            <w:szCs w:val="18"/>
                          </w:rPr>
                          <w:t>纯化水</w:t>
                        </w:r>
                      </w:p>
                    </w:tc>
                    <w:tc>
                      <w:tcPr>
                        <w:tcW w:w="609" w:type="pct"/>
                        <w:vMerge w:val="continue"/>
                        <w:tcBorders>
                          <w:bottom w:val="single" w:color="auto" w:sz="12" w:space="0"/>
                        </w:tcBorders>
                        <w:shd w:val="clear" w:color="auto" w:fill="auto"/>
                        <w:noWrap/>
                        <w:vAlign w:val="center"/>
                      </w:tcPr>
                      <w:p>
                        <w:pPr>
                          <w:widowControl/>
                          <w:jc w:val="center"/>
                          <w:rPr>
                            <w:b/>
                            <w:bCs/>
                            <w:kern w:val="0"/>
                            <w:sz w:val="18"/>
                            <w:szCs w:val="18"/>
                          </w:rPr>
                        </w:pPr>
                      </w:p>
                    </w:tc>
                    <w:tc>
                      <w:tcPr>
                        <w:tcW w:w="701" w:type="pct"/>
                        <w:tcBorders>
                          <w:bottom w:val="single" w:color="auto" w:sz="12" w:space="0"/>
                        </w:tcBorders>
                        <w:shd w:val="clear" w:color="auto" w:fill="auto"/>
                        <w:noWrap/>
                        <w:vAlign w:val="center"/>
                      </w:tcPr>
                      <w:p>
                        <w:pPr>
                          <w:widowControl/>
                          <w:jc w:val="center"/>
                          <w:rPr>
                            <w:b/>
                            <w:bCs/>
                            <w:kern w:val="0"/>
                            <w:sz w:val="18"/>
                            <w:szCs w:val="18"/>
                          </w:rPr>
                        </w:pPr>
                        <w:r>
                          <w:rPr>
                            <w:b/>
                            <w:bCs/>
                            <w:kern w:val="0"/>
                            <w:sz w:val="18"/>
                            <w:szCs w:val="18"/>
                          </w:rPr>
                          <w:t>进入下一步</w:t>
                        </w:r>
                      </w:p>
                    </w:tc>
                    <w:tc>
                      <w:tcPr>
                        <w:tcW w:w="566" w:type="pct"/>
                        <w:tcBorders>
                          <w:bottom w:val="single" w:color="auto" w:sz="12" w:space="0"/>
                        </w:tcBorders>
                        <w:shd w:val="clear" w:color="auto" w:fill="auto"/>
                        <w:noWrap/>
                        <w:vAlign w:val="center"/>
                      </w:tcPr>
                      <w:p>
                        <w:pPr>
                          <w:widowControl/>
                          <w:jc w:val="center"/>
                          <w:rPr>
                            <w:b/>
                            <w:bCs/>
                            <w:kern w:val="0"/>
                            <w:sz w:val="18"/>
                            <w:szCs w:val="18"/>
                          </w:rPr>
                        </w:pPr>
                        <w:r>
                          <w:rPr>
                            <w:b/>
                            <w:bCs/>
                            <w:kern w:val="0"/>
                            <w:sz w:val="18"/>
                            <w:szCs w:val="18"/>
                          </w:rPr>
                          <w:t>进入危废</w:t>
                        </w:r>
                      </w:p>
                    </w:tc>
                    <w:tc>
                      <w:tcPr>
                        <w:tcW w:w="559" w:type="pct"/>
                        <w:tcBorders>
                          <w:bottom w:val="single" w:color="auto" w:sz="12" w:space="0"/>
                        </w:tcBorders>
                        <w:shd w:val="clear" w:color="auto" w:fill="auto"/>
                        <w:noWrap/>
                        <w:vAlign w:val="center"/>
                      </w:tcPr>
                      <w:p>
                        <w:pPr>
                          <w:widowControl/>
                          <w:jc w:val="center"/>
                          <w:rPr>
                            <w:b/>
                            <w:bCs/>
                            <w:kern w:val="0"/>
                            <w:sz w:val="18"/>
                            <w:szCs w:val="18"/>
                          </w:rPr>
                        </w:pPr>
                        <w:r>
                          <w:rPr>
                            <w:b/>
                            <w:bCs/>
                            <w:kern w:val="0"/>
                            <w:sz w:val="18"/>
                            <w:szCs w:val="18"/>
                          </w:rPr>
                          <w:t>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tcBorders>
                          <w:top w:val="single" w:color="auto" w:sz="12" w:space="0"/>
                        </w:tcBorders>
                        <w:shd w:val="clear" w:color="auto" w:fill="auto"/>
                        <w:noWrap/>
                        <w:vAlign w:val="center"/>
                      </w:tcPr>
                      <w:p>
                        <w:pPr>
                          <w:widowControl/>
                          <w:jc w:val="center"/>
                          <w:rPr>
                            <w:kern w:val="0"/>
                            <w:sz w:val="18"/>
                            <w:szCs w:val="18"/>
                          </w:rPr>
                        </w:pPr>
                        <w:r>
                          <w:rPr>
                            <w:kern w:val="0"/>
                            <w:sz w:val="18"/>
                            <w:szCs w:val="18"/>
                          </w:rPr>
                          <w:t>办公生活用水</w:t>
                        </w:r>
                      </w:p>
                    </w:tc>
                    <w:tc>
                      <w:tcPr>
                        <w:tcW w:w="1073" w:type="dxa"/>
                        <w:tcBorders>
                          <w:top w:val="single" w:color="auto" w:sz="12" w:space="0"/>
                        </w:tcBorders>
                        <w:shd w:val="clear" w:color="auto" w:fill="auto"/>
                        <w:noWrap/>
                        <w:vAlign w:val="center"/>
                      </w:tcPr>
                      <w:p>
                        <w:pPr>
                          <w:pStyle w:val="123"/>
                          <w:rPr>
                            <w:szCs w:val="21"/>
                          </w:rPr>
                        </w:pPr>
                        <w:r>
                          <w:rPr>
                            <w:szCs w:val="21"/>
                          </w:rPr>
                          <w:t>10.7</w:t>
                        </w:r>
                      </w:p>
                    </w:tc>
                    <w:tc>
                      <w:tcPr>
                        <w:tcW w:w="1073" w:type="dxa"/>
                        <w:tcBorders>
                          <w:top w:val="single" w:color="auto" w:sz="12" w:space="0"/>
                        </w:tcBorders>
                        <w:shd w:val="clear" w:color="auto" w:fill="auto"/>
                        <w:noWrap/>
                        <w:vAlign w:val="center"/>
                      </w:tcPr>
                      <w:p>
                        <w:pPr>
                          <w:pStyle w:val="123"/>
                          <w:rPr>
                            <w:szCs w:val="21"/>
                          </w:rPr>
                        </w:pPr>
                        <w:r>
                          <w:rPr>
                            <w:szCs w:val="21"/>
                          </w:rPr>
                          <w:t>10.7</w:t>
                        </w:r>
                      </w:p>
                    </w:tc>
                    <w:tc>
                      <w:tcPr>
                        <w:tcW w:w="1075" w:type="dxa"/>
                        <w:tcBorders>
                          <w:top w:val="single" w:color="auto" w:sz="12" w:space="0"/>
                        </w:tcBorders>
                        <w:shd w:val="clear" w:color="auto" w:fill="auto"/>
                        <w:noWrap/>
                        <w:vAlign w:val="center"/>
                      </w:tcPr>
                      <w:p>
                        <w:pPr>
                          <w:pStyle w:val="123"/>
                          <w:rPr>
                            <w:szCs w:val="21"/>
                          </w:rPr>
                        </w:pPr>
                        <w:r>
                          <w:rPr>
                            <w:szCs w:val="21"/>
                          </w:rPr>
                          <w:t>0</w:t>
                        </w:r>
                      </w:p>
                    </w:tc>
                    <w:tc>
                      <w:tcPr>
                        <w:tcW w:w="1075" w:type="dxa"/>
                        <w:tcBorders>
                          <w:top w:val="single" w:color="auto" w:sz="12" w:space="0"/>
                        </w:tcBorders>
                        <w:shd w:val="clear" w:color="auto" w:fill="auto"/>
                        <w:noWrap/>
                        <w:vAlign w:val="center"/>
                      </w:tcPr>
                      <w:p>
                        <w:pPr>
                          <w:pStyle w:val="123"/>
                          <w:rPr>
                            <w:szCs w:val="21"/>
                          </w:rPr>
                        </w:pPr>
                        <w:r>
                          <w:rPr>
                            <w:szCs w:val="21"/>
                          </w:rPr>
                          <w:t>1.6</w:t>
                        </w:r>
                      </w:p>
                    </w:tc>
                    <w:tc>
                      <w:tcPr>
                        <w:tcW w:w="1237" w:type="dxa"/>
                        <w:tcBorders>
                          <w:top w:val="single" w:color="auto" w:sz="12" w:space="0"/>
                        </w:tcBorders>
                        <w:shd w:val="clear" w:color="auto" w:fill="auto"/>
                        <w:noWrap/>
                        <w:vAlign w:val="center"/>
                      </w:tcPr>
                      <w:p>
                        <w:pPr>
                          <w:pStyle w:val="123"/>
                          <w:rPr>
                            <w:szCs w:val="21"/>
                          </w:rPr>
                        </w:pPr>
                        <w:r>
                          <w:rPr>
                            <w:szCs w:val="21"/>
                          </w:rPr>
                          <w:t>0</w:t>
                        </w:r>
                      </w:p>
                    </w:tc>
                    <w:tc>
                      <w:tcPr>
                        <w:tcW w:w="999" w:type="dxa"/>
                        <w:tcBorders>
                          <w:top w:val="single" w:color="auto" w:sz="12" w:space="0"/>
                        </w:tcBorders>
                        <w:shd w:val="clear" w:color="auto" w:fill="auto"/>
                        <w:noWrap/>
                        <w:vAlign w:val="center"/>
                      </w:tcPr>
                      <w:p>
                        <w:pPr>
                          <w:pStyle w:val="123"/>
                          <w:rPr>
                            <w:szCs w:val="21"/>
                          </w:rPr>
                        </w:pPr>
                        <w:r>
                          <w:rPr>
                            <w:szCs w:val="21"/>
                          </w:rPr>
                          <w:t>0</w:t>
                        </w:r>
                      </w:p>
                    </w:tc>
                    <w:tc>
                      <w:tcPr>
                        <w:tcW w:w="986" w:type="dxa"/>
                        <w:tcBorders>
                          <w:top w:val="single" w:color="auto" w:sz="12" w:space="0"/>
                        </w:tcBorders>
                        <w:shd w:val="clear" w:color="auto" w:fill="auto"/>
                        <w:noWrap/>
                        <w:vAlign w:val="center"/>
                      </w:tcPr>
                      <w:p>
                        <w:pPr>
                          <w:pStyle w:val="123"/>
                          <w:rPr>
                            <w:szCs w:val="21"/>
                          </w:rPr>
                        </w:pPr>
                        <w:r>
                          <w:rPr>
                            <w:szCs w:val="21"/>
                          </w:rPr>
                          <w:t>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shd w:val="clear" w:color="auto" w:fill="auto"/>
                        <w:noWrap/>
                        <w:vAlign w:val="center"/>
                      </w:tcPr>
                      <w:p>
                        <w:pPr>
                          <w:widowControl/>
                          <w:jc w:val="center"/>
                          <w:rPr>
                            <w:kern w:val="0"/>
                            <w:sz w:val="18"/>
                            <w:szCs w:val="18"/>
                          </w:rPr>
                        </w:pPr>
                        <w:r>
                          <w:rPr>
                            <w:kern w:val="0"/>
                            <w:sz w:val="18"/>
                            <w:szCs w:val="18"/>
                          </w:rPr>
                          <w:t>地面清洁用水</w:t>
                        </w:r>
                      </w:p>
                    </w:tc>
                    <w:tc>
                      <w:tcPr>
                        <w:tcW w:w="1073" w:type="dxa"/>
                        <w:shd w:val="clear" w:color="auto" w:fill="auto"/>
                        <w:noWrap/>
                        <w:vAlign w:val="center"/>
                      </w:tcPr>
                      <w:p>
                        <w:pPr>
                          <w:pStyle w:val="123"/>
                          <w:rPr>
                            <w:szCs w:val="21"/>
                          </w:rPr>
                        </w:pPr>
                        <w:r>
                          <w:rPr>
                            <w:szCs w:val="21"/>
                          </w:rPr>
                          <w:t>2.1</w:t>
                        </w:r>
                      </w:p>
                    </w:tc>
                    <w:tc>
                      <w:tcPr>
                        <w:tcW w:w="1073" w:type="dxa"/>
                        <w:shd w:val="clear" w:color="auto" w:fill="auto"/>
                        <w:noWrap/>
                        <w:vAlign w:val="center"/>
                      </w:tcPr>
                      <w:p>
                        <w:pPr>
                          <w:pStyle w:val="123"/>
                          <w:rPr>
                            <w:szCs w:val="21"/>
                          </w:rPr>
                        </w:pPr>
                        <w:r>
                          <w:rPr>
                            <w:szCs w:val="21"/>
                          </w:rPr>
                          <w:t>2.1</w:t>
                        </w:r>
                      </w:p>
                    </w:tc>
                    <w:tc>
                      <w:tcPr>
                        <w:tcW w:w="1075" w:type="dxa"/>
                        <w:shd w:val="clear" w:color="auto" w:fill="auto"/>
                        <w:noWrap/>
                        <w:vAlign w:val="center"/>
                      </w:tcPr>
                      <w:p>
                        <w:pPr>
                          <w:pStyle w:val="123"/>
                          <w:rPr>
                            <w:szCs w:val="21"/>
                          </w:rPr>
                        </w:pPr>
                        <w:r>
                          <w:rPr>
                            <w:szCs w:val="21"/>
                          </w:rPr>
                          <w:t>0</w:t>
                        </w:r>
                      </w:p>
                    </w:tc>
                    <w:tc>
                      <w:tcPr>
                        <w:tcW w:w="1075" w:type="dxa"/>
                        <w:shd w:val="clear" w:color="auto" w:fill="auto"/>
                        <w:noWrap/>
                        <w:vAlign w:val="center"/>
                      </w:tcPr>
                      <w:p>
                        <w:pPr>
                          <w:pStyle w:val="123"/>
                          <w:rPr>
                            <w:szCs w:val="21"/>
                          </w:rPr>
                        </w:pPr>
                        <w:r>
                          <w:rPr>
                            <w:szCs w:val="21"/>
                          </w:rPr>
                          <w:t>0.2</w:t>
                        </w:r>
                      </w:p>
                    </w:tc>
                    <w:tc>
                      <w:tcPr>
                        <w:tcW w:w="1237" w:type="dxa"/>
                        <w:shd w:val="clear" w:color="auto" w:fill="auto"/>
                        <w:noWrap/>
                        <w:vAlign w:val="center"/>
                      </w:tcPr>
                      <w:p>
                        <w:pPr>
                          <w:pStyle w:val="123"/>
                          <w:rPr>
                            <w:szCs w:val="21"/>
                          </w:rPr>
                        </w:pPr>
                        <w:r>
                          <w:rPr>
                            <w:szCs w:val="21"/>
                          </w:rPr>
                          <w:t>0</w:t>
                        </w:r>
                      </w:p>
                    </w:tc>
                    <w:tc>
                      <w:tcPr>
                        <w:tcW w:w="999" w:type="dxa"/>
                        <w:shd w:val="clear" w:color="auto" w:fill="auto"/>
                        <w:noWrap/>
                        <w:vAlign w:val="center"/>
                      </w:tcPr>
                      <w:p>
                        <w:pPr>
                          <w:pStyle w:val="123"/>
                          <w:rPr>
                            <w:szCs w:val="21"/>
                          </w:rPr>
                        </w:pPr>
                        <w:r>
                          <w:rPr>
                            <w:szCs w:val="21"/>
                          </w:rPr>
                          <w:t>0</w:t>
                        </w:r>
                      </w:p>
                    </w:tc>
                    <w:tc>
                      <w:tcPr>
                        <w:tcW w:w="986" w:type="dxa"/>
                        <w:shd w:val="clear" w:color="auto" w:fill="auto"/>
                        <w:noWrap/>
                        <w:vAlign w:val="center"/>
                      </w:tcPr>
                      <w:p>
                        <w:pPr>
                          <w:pStyle w:val="123"/>
                          <w:rPr>
                            <w:szCs w:val="21"/>
                          </w:rPr>
                        </w:pPr>
                        <w:r>
                          <w:rPr>
                            <w:szCs w:val="21"/>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shd w:val="clear" w:color="auto" w:fill="auto"/>
                        <w:noWrap/>
                        <w:vAlign w:val="center"/>
                      </w:tcPr>
                      <w:p>
                        <w:pPr>
                          <w:widowControl/>
                          <w:jc w:val="center"/>
                          <w:rPr>
                            <w:kern w:val="0"/>
                            <w:sz w:val="18"/>
                            <w:szCs w:val="18"/>
                          </w:rPr>
                        </w:pPr>
                        <w:r>
                          <w:rPr>
                            <w:kern w:val="0"/>
                            <w:sz w:val="18"/>
                            <w:szCs w:val="18"/>
                          </w:rPr>
                          <w:t>器皿清洗用水</w:t>
                        </w:r>
                      </w:p>
                    </w:tc>
                    <w:tc>
                      <w:tcPr>
                        <w:tcW w:w="1073" w:type="dxa"/>
                        <w:shd w:val="clear" w:color="auto" w:fill="auto"/>
                        <w:noWrap/>
                        <w:vAlign w:val="center"/>
                      </w:tcPr>
                      <w:p>
                        <w:pPr>
                          <w:pStyle w:val="123"/>
                          <w:rPr>
                            <w:szCs w:val="21"/>
                          </w:rPr>
                        </w:pPr>
                        <w:r>
                          <w:rPr>
                            <w:szCs w:val="21"/>
                          </w:rPr>
                          <w:t>2.3</w:t>
                        </w:r>
                      </w:p>
                    </w:tc>
                    <w:tc>
                      <w:tcPr>
                        <w:tcW w:w="1073" w:type="dxa"/>
                        <w:shd w:val="clear" w:color="auto" w:fill="auto"/>
                        <w:noWrap/>
                        <w:vAlign w:val="center"/>
                      </w:tcPr>
                      <w:p>
                        <w:pPr>
                          <w:pStyle w:val="123"/>
                          <w:rPr>
                            <w:szCs w:val="21"/>
                          </w:rPr>
                        </w:pPr>
                        <w:r>
                          <w:rPr>
                            <w:szCs w:val="21"/>
                          </w:rPr>
                          <w:t>1.6</w:t>
                        </w:r>
                      </w:p>
                    </w:tc>
                    <w:tc>
                      <w:tcPr>
                        <w:tcW w:w="1075" w:type="dxa"/>
                        <w:shd w:val="clear" w:color="auto" w:fill="auto"/>
                        <w:noWrap/>
                        <w:vAlign w:val="center"/>
                      </w:tcPr>
                      <w:p>
                        <w:pPr>
                          <w:pStyle w:val="123"/>
                          <w:rPr>
                            <w:szCs w:val="21"/>
                          </w:rPr>
                        </w:pPr>
                        <w:r>
                          <w:rPr>
                            <w:szCs w:val="21"/>
                          </w:rPr>
                          <w:t>0.7</w:t>
                        </w:r>
                      </w:p>
                    </w:tc>
                    <w:tc>
                      <w:tcPr>
                        <w:tcW w:w="1075" w:type="dxa"/>
                        <w:shd w:val="clear" w:color="auto" w:fill="auto"/>
                        <w:noWrap/>
                        <w:vAlign w:val="center"/>
                      </w:tcPr>
                      <w:p>
                        <w:pPr>
                          <w:pStyle w:val="123"/>
                          <w:rPr>
                            <w:szCs w:val="21"/>
                          </w:rPr>
                        </w:pPr>
                        <w:r>
                          <w:rPr>
                            <w:szCs w:val="21"/>
                          </w:rPr>
                          <w:t>0.2</w:t>
                        </w:r>
                      </w:p>
                    </w:tc>
                    <w:tc>
                      <w:tcPr>
                        <w:tcW w:w="1237" w:type="dxa"/>
                        <w:shd w:val="clear" w:color="auto" w:fill="auto"/>
                        <w:noWrap/>
                        <w:vAlign w:val="center"/>
                      </w:tcPr>
                      <w:p>
                        <w:pPr>
                          <w:pStyle w:val="123"/>
                          <w:rPr>
                            <w:szCs w:val="21"/>
                          </w:rPr>
                        </w:pPr>
                        <w:r>
                          <w:rPr>
                            <w:szCs w:val="21"/>
                          </w:rPr>
                          <w:t>0</w:t>
                        </w:r>
                      </w:p>
                    </w:tc>
                    <w:tc>
                      <w:tcPr>
                        <w:tcW w:w="999" w:type="dxa"/>
                        <w:shd w:val="clear" w:color="auto" w:fill="auto"/>
                        <w:noWrap/>
                        <w:vAlign w:val="center"/>
                      </w:tcPr>
                      <w:p>
                        <w:pPr>
                          <w:pStyle w:val="123"/>
                          <w:rPr>
                            <w:szCs w:val="21"/>
                          </w:rPr>
                        </w:pPr>
                        <w:r>
                          <w:rPr>
                            <w:szCs w:val="21"/>
                          </w:rPr>
                          <w:t>0</w:t>
                        </w:r>
                      </w:p>
                    </w:tc>
                    <w:tc>
                      <w:tcPr>
                        <w:tcW w:w="986" w:type="dxa"/>
                        <w:shd w:val="clear" w:color="auto" w:fill="auto"/>
                        <w:noWrap/>
                        <w:vAlign w:val="center"/>
                      </w:tcPr>
                      <w:p>
                        <w:pPr>
                          <w:pStyle w:val="123"/>
                          <w:rPr>
                            <w:szCs w:val="21"/>
                          </w:rPr>
                        </w:pPr>
                        <w:r>
                          <w:rPr>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shd w:val="clear" w:color="auto" w:fill="auto"/>
                        <w:noWrap/>
                        <w:vAlign w:val="center"/>
                      </w:tcPr>
                      <w:p>
                        <w:pPr>
                          <w:widowControl/>
                          <w:jc w:val="center"/>
                          <w:rPr>
                            <w:kern w:val="0"/>
                            <w:sz w:val="18"/>
                            <w:szCs w:val="18"/>
                          </w:rPr>
                        </w:pPr>
                        <w:r>
                          <w:rPr>
                            <w:kern w:val="0"/>
                            <w:sz w:val="18"/>
                            <w:szCs w:val="18"/>
                          </w:rPr>
                          <w:t>配液用水</w:t>
                        </w:r>
                      </w:p>
                    </w:tc>
                    <w:tc>
                      <w:tcPr>
                        <w:tcW w:w="1073" w:type="dxa"/>
                        <w:shd w:val="clear" w:color="auto" w:fill="auto"/>
                        <w:noWrap/>
                        <w:vAlign w:val="center"/>
                      </w:tcPr>
                      <w:p>
                        <w:pPr>
                          <w:pStyle w:val="123"/>
                          <w:rPr>
                            <w:szCs w:val="21"/>
                          </w:rPr>
                        </w:pPr>
                        <w:r>
                          <w:rPr>
                            <w:szCs w:val="21"/>
                          </w:rPr>
                          <w:t>0.1</w:t>
                        </w:r>
                      </w:p>
                    </w:tc>
                    <w:tc>
                      <w:tcPr>
                        <w:tcW w:w="1073" w:type="dxa"/>
                        <w:shd w:val="clear" w:color="auto" w:fill="auto"/>
                        <w:noWrap/>
                        <w:vAlign w:val="center"/>
                      </w:tcPr>
                      <w:p>
                        <w:pPr>
                          <w:pStyle w:val="123"/>
                          <w:rPr>
                            <w:szCs w:val="21"/>
                          </w:rPr>
                        </w:pPr>
                        <w:r>
                          <w:rPr>
                            <w:szCs w:val="21"/>
                          </w:rPr>
                          <w:t>0</w:t>
                        </w:r>
                      </w:p>
                    </w:tc>
                    <w:tc>
                      <w:tcPr>
                        <w:tcW w:w="1075" w:type="dxa"/>
                        <w:shd w:val="clear" w:color="auto" w:fill="auto"/>
                        <w:noWrap/>
                        <w:vAlign w:val="center"/>
                      </w:tcPr>
                      <w:p>
                        <w:pPr>
                          <w:pStyle w:val="123"/>
                          <w:rPr>
                            <w:szCs w:val="21"/>
                          </w:rPr>
                        </w:pPr>
                        <w:r>
                          <w:rPr>
                            <w:szCs w:val="21"/>
                          </w:rPr>
                          <w:t>0.1</w:t>
                        </w:r>
                      </w:p>
                    </w:tc>
                    <w:tc>
                      <w:tcPr>
                        <w:tcW w:w="1075" w:type="dxa"/>
                        <w:shd w:val="clear" w:color="auto" w:fill="auto"/>
                        <w:noWrap/>
                        <w:vAlign w:val="center"/>
                      </w:tcPr>
                      <w:p>
                        <w:pPr>
                          <w:pStyle w:val="123"/>
                          <w:rPr>
                            <w:szCs w:val="21"/>
                          </w:rPr>
                        </w:pPr>
                        <w:r>
                          <w:rPr>
                            <w:szCs w:val="21"/>
                          </w:rPr>
                          <w:t>0.0</w:t>
                        </w:r>
                      </w:p>
                    </w:tc>
                    <w:tc>
                      <w:tcPr>
                        <w:tcW w:w="1237" w:type="dxa"/>
                        <w:shd w:val="clear" w:color="auto" w:fill="auto"/>
                        <w:noWrap/>
                        <w:vAlign w:val="center"/>
                      </w:tcPr>
                      <w:p>
                        <w:pPr>
                          <w:pStyle w:val="123"/>
                          <w:rPr>
                            <w:szCs w:val="21"/>
                          </w:rPr>
                        </w:pPr>
                        <w:r>
                          <w:rPr>
                            <w:szCs w:val="21"/>
                          </w:rPr>
                          <w:t>0</w:t>
                        </w:r>
                      </w:p>
                    </w:tc>
                    <w:tc>
                      <w:tcPr>
                        <w:tcW w:w="999" w:type="dxa"/>
                        <w:shd w:val="clear" w:color="auto" w:fill="auto"/>
                        <w:noWrap/>
                        <w:vAlign w:val="center"/>
                      </w:tcPr>
                      <w:p>
                        <w:pPr>
                          <w:pStyle w:val="123"/>
                          <w:rPr>
                            <w:szCs w:val="21"/>
                          </w:rPr>
                        </w:pPr>
                        <w:r>
                          <w:rPr>
                            <w:szCs w:val="21"/>
                          </w:rPr>
                          <w:t>0.1</w:t>
                        </w:r>
                      </w:p>
                    </w:tc>
                    <w:tc>
                      <w:tcPr>
                        <w:tcW w:w="986" w:type="dxa"/>
                        <w:shd w:val="clear" w:color="auto" w:fill="auto"/>
                        <w:noWrap/>
                        <w:vAlign w:val="center"/>
                      </w:tcPr>
                      <w:p>
                        <w:pPr>
                          <w:pStyle w:val="123"/>
                          <w:rPr>
                            <w:szCs w:val="21"/>
                          </w:rPr>
                        </w:pPr>
                        <w:r>
                          <w:rPr>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shd w:val="clear" w:color="auto" w:fill="auto"/>
                        <w:noWrap/>
                        <w:vAlign w:val="center"/>
                      </w:tcPr>
                      <w:p>
                        <w:pPr>
                          <w:widowControl/>
                          <w:jc w:val="center"/>
                          <w:rPr>
                            <w:kern w:val="0"/>
                            <w:sz w:val="18"/>
                            <w:szCs w:val="18"/>
                          </w:rPr>
                        </w:pPr>
                        <w:r>
                          <w:rPr>
                            <w:kern w:val="0"/>
                            <w:sz w:val="18"/>
                            <w:szCs w:val="18"/>
                          </w:rPr>
                          <w:t>工衣清洗用水</w:t>
                        </w:r>
                      </w:p>
                    </w:tc>
                    <w:tc>
                      <w:tcPr>
                        <w:tcW w:w="1073" w:type="dxa"/>
                        <w:shd w:val="clear" w:color="auto" w:fill="auto"/>
                        <w:noWrap/>
                        <w:vAlign w:val="center"/>
                      </w:tcPr>
                      <w:p>
                        <w:pPr>
                          <w:pStyle w:val="123"/>
                          <w:rPr>
                            <w:szCs w:val="21"/>
                          </w:rPr>
                        </w:pPr>
                        <w:r>
                          <w:rPr>
                            <w:szCs w:val="21"/>
                          </w:rPr>
                          <w:t>1.7</w:t>
                        </w:r>
                      </w:p>
                    </w:tc>
                    <w:tc>
                      <w:tcPr>
                        <w:tcW w:w="1073" w:type="dxa"/>
                        <w:shd w:val="clear" w:color="auto" w:fill="auto"/>
                        <w:noWrap/>
                        <w:vAlign w:val="center"/>
                      </w:tcPr>
                      <w:p>
                        <w:pPr>
                          <w:pStyle w:val="123"/>
                          <w:rPr>
                            <w:szCs w:val="21"/>
                          </w:rPr>
                        </w:pPr>
                        <w:r>
                          <w:rPr>
                            <w:szCs w:val="21"/>
                          </w:rPr>
                          <w:t>1.7</w:t>
                        </w:r>
                      </w:p>
                    </w:tc>
                    <w:tc>
                      <w:tcPr>
                        <w:tcW w:w="1075" w:type="dxa"/>
                        <w:shd w:val="clear" w:color="auto" w:fill="auto"/>
                        <w:noWrap/>
                        <w:vAlign w:val="center"/>
                      </w:tcPr>
                      <w:p>
                        <w:pPr>
                          <w:pStyle w:val="123"/>
                          <w:rPr>
                            <w:szCs w:val="21"/>
                          </w:rPr>
                        </w:pPr>
                        <w:r>
                          <w:rPr>
                            <w:szCs w:val="21"/>
                          </w:rPr>
                          <w:t>0</w:t>
                        </w:r>
                      </w:p>
                    </w:tc>
                    <w:tc>
                      <w:tcPr>
                        <w:tcW w:w="1075" w:type="dxa"/>
                        <w:shd w:val="clear" w:color="auto" w:fill="auto"/>
                        <w:noWrap/>
                        <w:vAlign w:val="center"/>
                      </w:tcPr>
                      <w:p>
                        <w:pPr>
                          <w:pStyle w:val="123"/>
                          <w:rPr>
                            <w:szCs w:val="21"/>
                          </w:rPr>
                        </w:pPr>
                        <w:r>
                          <w:rPr>
                            <w:szCs w:val="21"/>
                          </w:rPr>
                          <w:t>0.2</w:t>
                        </w:r>
                      </w:p>
                    </w:tc>
                    <w:tc>
                      <w:tcPr>
                        <w:tcW w:w="1237" w:type="dxa"/>
                        <w:shd w:val="clear" w:color="auto" w:fill="auto"/>
                        <w:noWrap/>
                        <w:vAlign w:val="center"/>
                      </w:tcPr>
                      <w:p>
                        <w:pPr>
                          <w:pStyle w:val="123"/>
                          <w:rPr>
                            <w:szCs w:val="21"/>
                          </w:rPr>
                        </w:pPr>
                        <w:r>
                          <w:rPr>
                            <w:szCs w:val="21"/>
                          </w:rPr>
                          <w:t>0</w:t>
                        </w:r>
                      </w:p>
                    </w:tc>
                    <w:tc>
                      <w:tcPr>
                        <w:tcW w:w="999" w:type="dxa"/>
                        <w:shd w:val="clear" w:color="auto" w:fill="auto"/>
                        <w:noWrap/>
                        <w:vAlign w:val="center"/>
                      </w:tcPr>
                      <w:p>
                        <w:pPr>
                          <w:pStyle w:val="123"/>
                          <w:rPr>
                            <w:szCs w:val="21"/>
                          </w:rPr>
                        </w:pPr>
                        <w:r>
                          <w:rPr>
                            <w:szCs w:val="21"/>
                          </w:rPr>
                          <w:t>0.0</w:t>
                        </w:r>
                      </w:p>
                    </w:tc>
                    <w:tc>
                      <w:tcPr>
                        <w:tcW w:w="986" w:type="dxa"/>
                        <w:shd w:val="clear" w:color="auto" w:fill="auto"/>
                        <w:noWrap/>
                        <w:vAlign w:val="center"/>
                      </w:tcPr>
                      <w:p>
                        <w:pPr>
                          <w:pStyle w:val="123"/>
                          <w:rPr>
                            <w:szCs w:val="21"/>
                          </w:rPr>
                        </w:pPr>
                        <w:r>
                          <w:rPr>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shd w:val="clear" w:color="auto" w:fill="auto"/>
                        <w:noWrap/>
                        <w:vAlign w:val="center"/>
                      </w:tcPr>
                      <w:p>
                        <w:pPr>
                          <w:widowControl/>
                          <w:jc w:val="center"/>
                          <w:rPr>
                            <w:kern w:val="0"/>
                            <w:sz w:val="18"/>
                            <w:szCs w:val="18"/>
                          </w:rPr>
                        </w:pPr>
                        <w:r>
                          <w:rPr>
                            <w:kern w:val="0"/>
                            <w:sz w:val="18"/>
                            <w:szCs w:val="18"/>
                          </w:rPr>
                          <w:t>纯水制备用水</w:t>
                        </w:r>
                      </w:p>
                    </w:tc>
                    <w:tc>
                      <w:tcPr>
                        <w:tcW w:w="1073" w:type="dxa"/>
                        <w:shd w:val="clear" w:color="auto" w:fill="auto"/>
                        <w:noWrap/>
                        <w:vAlign w:val="center"/>
                      </w:tcPr>
                      <w:p>
                        <w:pPr>
                          <w:pStyle w:val="123"/>
                          <w:rPr>
                            <w:szCs w:val="21"/>
                          </w:rPr>
                        </w:pPr>
                        <w:r>
                          <w:rPr>
                            <w:szCs w:val="21"/>
                          </w:rPr>
                          <w:t>1.1</w:t>
                        </w:r>
                      </w:p>
                    </w:tc>
                    <w:tc>
                      <w:tcPr>
                        <w:tcW w:w="1073" w:type="dxa"/>
                        <w:shd w:val="clear" w:color="auto" w:fill="auto"/>
                        <w:noWrap/>
                        <w:vAlign w:val="center"/>
                      </w:tcPr>
                      <w:p>
                        <w:pPr>
                          <w:pStyle w:val="123"/>
                          <w:rPr>
                            <w:szCs w:val="21"/>
                          </w:rPr>
                        </w:pPr>
                        <w:r>
                          <w:rPr>
                            <w:szCs w:val="21"/>
                          </w:rPr>
                          <w:t>1.1</w:t>
                        </w:r>
                      </w:p>
                    </w:tc>
                    <w:tc>
                      <w:tcPr>
                        <w:tcW w:w="1075" w:type="dxa"/>
                        <w:shd w:val="clear" w:color="auto" w:fill="auto"/>
                        <w:noWrap/>
                        <w:vAlign w:val="center"/>
                      </w:tcPr>
                      <w:p>
                        <w:pPr>
                          <w:pStyle w:val="123"/>
                          <w:rPr>
                            <w:szCs w:val="21"/>
                          </w:rPr>
                        </w:pPr>
                        <w:r>
                          <w:rPr>
                            <w:szCs w:val="21"/>
                          </w:rPr>
                          <w:t>0</w:t>
                        </w:r>
                      </w:p>
                    </w:tc>
                    <w:tc>
                      <w:tcPr>
                        <w:tcW w:w="1075" w:type="dxa"/>
                        <w:shd w:val="clear" w:color="auto" w:fill="auto"/>
                        <w:noWrap/>
                        <w:vAlign w:val="center"/>
                      </w:tcPr>
                      <w:p>
                        <w:pPr>
                          <w:pStyle w:val="123"/>
                          <w:rPr>
                            <w:szCs w:val="21"/>
                          </w:rPr>
                        </w:pPr>
                        <w:r>
                          <w:rPr>
                            <w:szCs w:val="21"/>
                          </w:rPr>
                          <w:t>0.0</w:t>
                        </w:r>
                      </w:p>
                    </w:tc>
                    <w:tc>
                      <w:tcPr>
                        <w:tcW w:w="1237" w:type="dxa"/>
                        <w:shd w:val="clear" w:color="auto" w:fill="auto"/>
                        <w:noWrap/>
                        <w:vAlign w:val="center"/>
                      </w:tcPr>
                      <w:p>
                        <w:pPr>
                          <w:pStyle w:val="123"/>
                          <w:rPr>
                            <w:szCs w:val="21"/>
                          </w:rPr>
                        </w:pPr>
                        <w:r>
                          <w:rPr>
                            <w:szCs w:val="21"/>
                          </w:rPr>
                          <w:t>0.8</w:t>
                        </w:r>
                      </w:p>
                    </w:tc>
                    <w:tc>
                      <w:tcPr>
                        <w:tcW w:w="999" w:type="dxa"/>
                        <w:shd w:val="clear" w:color="auto" w:fill="auto"/>
                        <w:noWrap/>
                        <w:vAlign w:val="center"/>
                      </w:tcPr>
                      <w:p>
                        <w:pPr>
                          <w:pStyle w:val="123"/>
                          <w:rPr>
                            <w:szCs w:val="21"/>
                          </w:rPr>
                        </w:pPr>
                        <w:r>
                          <w:rPr>
                            <w:szCs w:val="21"/>
                          </w:rPr>
                          <w:t>0.0</w:t>
                        </w:r>
                      </w:p>
                    </w:tc>
                    <w:tc>
                      <w:tcPr>
                        <w:tcW w:w="986" w:type="dxa"/>
                        <w:shd w:val="clear" w:color="auto" w:fill="auto"/>
                        <w:noWrap/>
                        <w:vAlign w:val="center"/>
                      </w:tcPr>
                      <w:p>
                        <w:pPr>
                          <w:pStyle w:val="123"/>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0" w:type="pct"/>
                        <w:shd w:val="clear" w:color="auto" w:fill="auto"/>
                        <w:noWrap/>
                        <w:vAlign w:val="center"/>
                      </w:tcPr>
                      <w:p>
                        <w:pPr>
                          <w:widowControl/>
                          <w:jc w:val="center"/>
                          <w:rPr>
                            <w:kern w:val="0"/>
                            <w:sz w:val="18"/>
                            <w:szCs w:val="18"/>
                          </w:rPr>
                        </w:pPr>
                        <w:r>
                          <w:rPr>
                            <w:kern w:val="0"/>
                            <w:sz w:val="18"/>
                            <w:szCs w:val="18"/>
                          </w:rPr>
                          <w:t>合计</w:t>
                        </w:r>
                      </w:p>
                    </w:tc>
                    <w:tc>
                      <w:tcPr>
                        <w:tcW w:w="1073" w:type="dxa"/>
                        <w:shd w:val="clear" w:color="auto" w:fill="auto"/>
                        <w:noWrap/>
                        <w:vAlign w:val="center"/>
                      </w:tcPr>
                      <w:p>
                        <w:pPr>
                          <w:pStyle w:val="123"/>
                          <w:rPr>
                            <w:szCs w:val="21"/>
                          </w:rPr>
                        </w:pPr>
                        <w:r>
                          <w:rPr>
                            <w:szCs w:val="21"/>
                          </w:rPr>
                          <w:t>18.0</w:t>
                        </w:r>
                      </w:p>
                    </w:tc>
                    <w:tc>
                      <w:tcPr>
                        <w:tcW w:w="1073" w:type="dxa"/>
                        <w:shd w:val="clear" w:color="auto" w:fill="auto"/>
                        <w:noWrap/>
                        <w:vAlign w:val="center"/>
                      </w:tcPr>
                      <w:p>
                        <w:pPr>
                          <w:pStyle w:val="123"/>
                          <w:rPr>
                            <w:szCs w:val="21"/>
                          </w:rPr>
                        </w:pPr>
                        <w:r>
                          <w:rPr>
                            <w:szCs w:val="21"/>
                          </w:rPr>
                          <w:t>17.2</w:t>
                        </w:r>
                      </w:p>
                    </w:tc>
                    <w:tc>
                      <w:tcPr>
                        <w:tcW w:w="1075" w:type="dxa"/>
                        <w:shd w:val="clear" w:color="auto" w:fill="auto"/>
                        <w:noWrap/>
                        <w:vAlign w:val="center"/>
                      </w:tcPr>
                      <w:p>
                        <w:pPr>
                          <w:pStyle w:val="123"/>
                          <w:rPr>
                            <w:szCs w:val="21"/>
                          </w:rPr>
                        </w:pPr>
                        <w:r>
                          <w:rPr>
                            <w:szCs w:val="21"/>
                          </w:rPr>
                          <w:t>0.8</w:t>
                        </w:r>
                      </w:p>
                    </w:tc>
                    <w:tc>
                      <w:tcPr>
                        <w:tcW w:w="1075" w:type="dxa"/>
                        <w:shd w:val="clear" w:color="auto" w:fill="auto"/>
                        <w:noWrap/>
                        <w:vAlign w:val="center"/>
                      </w:tcPr>
                      <w:p>
                        <w:pPr>
                          <w:pStyle w:val="123"/>
                          <w:rPr>
                            <w:szCs w:val="21"/>
                          </w:rPr>
                        </w:pPr>
                        <w:r>
                          <w:rPr>
                            <w:szCs w:val="21"/>
                          </w:rPr>
                          <w:t>2.2</w:t>
                        </w:r>
                      </w:p>
                    </w:tc>
                    <w:tc>
                      <w:tcPr>
                        <w:tcW w:w="1237" w:type="dxa"/>
                        <w:shd w:val="clear" w:color="auto" w:fill="auto"/>
                        <w:noWrap/>
                        <w:vAlign w:val="center"/>
                      </w:tcPr>
                      <w:p>
                        <w:pPr>
                          <w:pStyle w:val="123"/>
                          <w:rPr>
                            <w:szCs w:val="21"/>
                          </w:rPr>
                        </w:pPr>
                        <w:r>
                          <w:rPr>
                            <w:szCs w:val="21"/>
                          </w:rPr>
                          <w:t>0.8</w:t>
                        </w:r>
                      </w:p>
                    </w:tc>
                    <w:tc>
                      <w:tcPr>
                        <w:tcW w:w="999" w:type="dxa"/>
                        <w:shd w:val="clear" w:color="auto" w:fill="auto"/>
                        <w:noWrap/>
                        <w:vAlign w:val="center"/>
                      </w:tcPr>
                      <w:p>
                        <w:pPr>
                          <w:pStyle w:val="123"/>
                          <w:rPr>
                            <w:szCs w:val="21"/>
                          </w:rPr>
                        </w:pPr>
                        <w:r>
                          <w:rPr>
                            <w:szCs w:val="21"/>
                          </w:rPr>
                          <w:t>0.1</w:t>
                        </w:r>
                      </w:p>
                    </w:tc>
                    <w:tc>
                      <w:tcPr>
                        <w:tcW w:w="986" w:type="dxa"/>
                        <w:shd w:val="clear" w:color="auto" w:fill="auto"/>
                        <w:noWrap/>
                        <w:vAlign w:val="center"/>
                      </w:tcPr>
                      <w:p>
                        <w:pPr>
                          <w:pStyle w:val="123"/>
                          <w:rPr>
                            <w:szCs w:val="21"/>
                          </w:rPr>
                        </w:pPr>
                        <w:r>
                          <w:rPr>
                            <w:szCs w:val="21"/>
                          </w:rPr>
                          <w:t>14.8</w:t>
                        </w:r>
                      </w:p>
                    </w:tc>
                  </w:tr>
                </w:tbl>
                <w:p>
                  <w:pPr>
                    <w:pStyle w:val="114"/>
                    <w:jc w:val="center"/>
                    <w:rPr>
                      <w:rFonts w:ascii="Times New Roman" w:cs="Times New Roman"/>
                    </w:rPr>
                  </w:pPr>
                  <w:r>
                    <w:rPr>
                      <w:rFonts w:ascii="Times New Roman" w:cs="Times New Roman"/>
                    </w:rPr>
                    <w:object>
                      <v:shape id="_x0000_i1025" o:spt="75" type="#_x0000_t75" style="height:234.15pt;width:405.1pt;" o:ole="t" filled="f" o:preferrelative="t" stroked="f" coordsize="21600,21600">
                        <v:path/>
                        <v:fill on="f" focussize="0,0"/>
                        <v:stroke on="f"/>
                        <v:imagedata r:id="rId11" o:title=""/>
                        <o:lock v:ext="edit" aspectratio="t"/>
                        <w10:wrap type="none"/>
                        <w10:anchorlock/>
                      </v:shape>
                      <o:OLEObject Type="Embed" ProgID="Visio.Drawing.11" ShapeID="_x0000_i1025" DrawAspect="Content" ObjectID="_1468075725" r:id="rId10">
                        <o:LockedField>false</o:LockedField>
                      </o:OLEObject>
                    </w:object>
                  </w:r>
                </w:p>
              </w:tc>
            </w:tr>
          </w:tbl>
          <w:p>
            <w:pPr>
              <w:pStyle w:val="24"/>
              <w:spacing w:before="0" w:beforeAutospacing="0" w:after="0" w:afterAutospacing="0"/>
              <w:jc w:val="cente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图2-3 项目日用水平衡图（单位：m</w:t>
            </w:r>
            <w:r>
              <w:rPr>
                <w:rFonts w:ascii="Times New Roman" w:hAnsi="Times New Roman" w:eastAsia="黑体" w:cs="Times New Roman"/>
                <w:color w:val="000000" w:themeColor="text1"/>
                <w:sz w:val="21"/>
                <w:szCs w:val="21"/>
                <w:vertAlign w:val="superscript"/>
                <w14:textFill>
                  <w14:solidFill>
                    <w14:schemeClr w14:val="tx1"/>
                  </w14:solidFill>
                </w14:textFill>
              </w:rPr>
              <w:t>3</w:t>
            </w:r>
            <w:r>
              <w:rPr>
                <w:rFonts w:ascii="Times New Roman" w:hAnsi="Times New Roman" w:eastAsia="黑体" w:cs="Times New Roman"/>
                <w:color w:val="000000" w:themeColor="text1"/>
                <w:sz w:val="21"/>
                <w:szCs w:val="21"/>
                <w14:textFill>
                  <w14:solidFill>
                    <w14:schemeClr w14:val="tx1"/>
                  </w14:solidFill>
                </w14:textFill>
              </w:rPr>
              <w:t>/d）</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2.7劳动定员及工作制度</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项目劳动定员</w:t>
            </w:r>
            <w:r>
              <w:rPr>
                <w:rFonts w:hint="eastAsia"/>
                <w:color w:val="000000" w:themeColor="text1"/>
                <w:sz w:val="24"/>
                <w14:textFill>
                  <w14:solidFill>
                    <w14:schemeClr w14:val="tx1"/>
                  </w14:solidFill>
                </w14:textFill>
              </w:rPr>
              <w:t>42</w:t>
            </w:r>
            <w:r>
              <w:rPr>
                <w:color w:val="000000" w:themeColor="text1"/>
                <w:sz w:val="24"/>
                <w14:textFill>
                  <w14:solidFill>
                    <w14:schemeClr w14:val="tx1"/>
                  </w14:solidFill>
                </w14:textFill>
              </w:rPr>
              <w:t>人</w:t>
            </w:r>
            <w:r>
              <w:rPr>
                <w:rFonts w:hint="eastAsia"/>
                <w:color w:val="000000" w:themeColor="text1"/>
                <w:sz w:val="24"/>
                <w14:textFill>
                  <w14:solidFill>
                    <w14:schemeClr w14:val="tx1"/>
                  </w14:solidFill>
                </w14:textFill>
              </w:rPr>
              <w:t>，其中生产人员32人，管理人员10人</w:t>
            </w:r>
            <w:r>
              <w:rPr>
                <w:color w:val="000000" w:themeColor="text1"/>
                <w:sz w:val="24"/>
                <w14:textFill>
                  <w14:solidFill>
                    <w14:schemeClr w14:val="tx1"/>
                  </w14:solidFill>
                </w14:textFill>
              </w:rPr>
              <w:t>。年工作</w:t>
            </w:r>
            <w:r>
              <w:rPr>
                <w:rFonts w:hint="eastAsia"/>
                <w:color w:val="000000" w:themeColor="text1"/>
                <w:sz w:val="24"/>
                <w14:textFill>
                  <w14:solidFill>
                    <w14:schemeClr w14:val="tx1"/>
                  </w14:solidFill>
                </w14:textFill>
              </w:rPr>
              <w:t>250</w:t>
            </w:r>
            <w:r>
              <w:rPr>
                <w:color w:val="000000" w:themeColor="text1"/>
                <w:sz w:val="24"/>
                <w14:textFill>
                  <w14:solidFill>
                    <w14:schemeClr w14:val="tx1"/>
                  </w14:solidFill>
                </w14:textFill>
              </w:rPr>
              <w:t>天，每天工作</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小时，工作时间为8:30-17:30。</w:t>
            </w:r>
          </w:p>
          <w:p>
            <w:pPr>
              <w:spacing w:line="360" w:lineRule="auto"/>
              <w:ind w:right="178" w:rightChars="85"/>
              <w:rPr>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8</w:t>
            </w:r>
            <w:r>
              <w:rPr>
                <w:rFonts w:eastAsia="黑体"/>
                <w:color w:val="000000" w:themeColor="text1"/>
                <w:sz w:val="24"/>
                <w14:textFill>
                  <w14:solidFill>
                    <w14:schemeClr w14:val="tx1"/>
                  </w14:solidFill>
                </w14:textFill>
              </w:rPr>
              <w:t>主要工艺流程</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本</w:t>
            </w:r>
            <w:r>
              <w:rPr>
                <w:rFonts w:hint="eastAsia"/>
                <w:color w:val="000000" w:themeColor="text1"/>
                <w:sz w:val="24"/>
                <w14:textFill>
                  <w14:solidFill>
                    <w14:schemeClr w14:val="tx1"/>
                  </w14:solidFill>
                </w14:textFill>
              </w:rPr>
              <w:t>项目</w:t>
            </w:r>
            <w:r>
              <w:rPr>
                <w:rFonts w:hint="eastAsia"/>
                <w:color w:val="000000" w:themeColor="text1"/>
                <w:sz w:val="24"/>
                <w:lang w:eastAsia="zh-CN"/>
                <w14:textFill>
                  <w14:solidFill>
                    <w14:schemeClr w14:val="tx1"/>
                  </w14:solidFill>
                </w14:textFill>
              </w:rPr>
              <w:t>运营期</w:t>
            </w:r>
            <w:r>
              <w:rPr>
                <w:color w:val="000000" w:themeColor="text1"/>
                <w:sz w:val="24"/>
                <w14:textFill>
                  <w14:solidFill>
                    <w14:schemeClr w14:val="tx1"/>
                  </w14:solidFill>
                </w14:textFill>
              </w:rPr>
              <w:t>实验研发流程步骤见图2-4，项目研发步骤及产污环节见表2-</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用基础培养基培养细胞，并分别加入不同种类和浓度的细胞生长因子（即培养基组分），从细胞增殖速率、细胞形态、细胞凋亡情况、特定蛋白的分泌表达能力等方面进行考察，评价所需细胞生长因子组分的种类和最佳浓度。</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②优化酵母表达载体，构建酵母高表达表达工程菌，并通过发酵、提纯得到筛选出的必需细胞生长因子。同时优化工艺，降低成本。</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③将发酵提纯的细胞生长因子按最佳浓度加入到细胞培养基中，培养细胞，通过多种实验（细胞水平、分子水平、蛋白水平）考察细胞生长情况，验证细胞因子的生物学活性。</w:t>
            </w:r>
          </w:p>
          <w:p>
            <w:pPr>
              <w:spacing w:line="360" w:lineRule="auto"/>
              <w:ind w:firstLine="480" w:firstLineChars="200"/>
              <w:jc w:val="left"/>
              <w:rPr>
                <w:sz w:val="24"/>
              </w:rPr>
            </w:pPr>
            <w:r>
              <w:rPr>
                <w:color w:val="000000" w:themeColor="text1"/>
                <w:sz w:val="24"/>
                <w14:textFill>
                  <w14:solidFill>
                    <w14:schemeClr w14:val="tx1"/>
                  </w14:solidFill>
                </w14:textFill>
              </w:rPr>
              <w:t>④综合实验数据，调整优化配方，最终研发生成无血清培养基产品。</w:t>
            </w:r>
          </w:p>
          <w:tbl>
            <w:tblPr>
              <w:tblStyle w:val="29"/>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282" w:hRule="atLeast"/>
              </w:trPr>
              <w:tc>
                <w:tcPr>
                  <w:tcW w:w="9070" w:type="dxa"/>
                  <w:tcBorders>
                    <w:tl2br w:val="nil"/>
                    <w:tr2bl w:val="nil"/>
                  </w:tcBorders>
                </w:tcPr>
                <w:p>
                  <w:pPr>
                    <w:pStyle w:val="2"/>
                    <w:ind w:left="0" w:leftChars="0" w:firstLine="0" w:firstLineChars="0"/>
                    <w:jc w:val="center"/>
                    <w:rPr>
                      <w:kern w:val="0"/>
                      <w:sz w:val="24"/>
                    </w:rPr>
                  </w:pPr>
                  <w:r>
                    <mc:AlternateContent>
                      <mc:Choice Requires="wpc">
                        <w:drawing>
                          <wp:inline distT="0" distB="0" distL="0" distR="0">
                            <wp:extent cx="3429000" cy="4093845"/>
                            <wp:effectExtent l="0" t="0" r="0" b="40005"/>
                            <wp:docPr id="1698" name="画布 16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文本框 1700"/>
                                    <wps:cNvSpPr txBox="1"/>
                                    <wps:spPr>
                                      <a:xfrm>
                                        <a:off x="207021" y="36009"/>
                                        <a:ext cx="1308734" cy="431338"/>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sz w:val="18"/>
                                            </w:rPr>
                                          </w:pPr>
                                          <w:r>
                                            <w:rPr>
                                              <w:rFonts w:hint="eastAsia"/>
                                              <w:sz w:val="18"/>
                                            </w:rPr>
                                            <w:t>筛选需要添加的细胞生长因子及最佳浓度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1700"/>
                                    <wps:cNvSpPr txBox="1"/>
                                    <wps:spPr>
                                      <a:xfrm>
                                        <a:off x="198345" y="747343"/>
                                        <a:ext cx="1308114" cy="25844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检测细胞增殖</w:t>
                                          </w:r>
                                        </w:p>
                                      </w:txbxContent>
                                    </wps:txbx>
                                    <wps:bodyPr rot="0" spcFirstLastPara="0" vert="horz" wrap="square" lIns="91440" tIns="45720" rIns="91440" bIns="45720" numCol="1" spcCol="0" rtlCol="0" fromWordArt="0" anchor="t" anchorCtr="0" forceAA="0" compatLnSpc="1">
                                      <a:noAutofit/>
                                    </wps:bodyPr>
                                  </wps:wsp>
                                  <wps:wsp>
                                    <wps:cNvPr id="65" name="文本框 1700"/>
                                    <wps:cNvSpPr txBox="1"/>
                                    <wps:spPr>
                                      <a:xfrm>
                                        <a:off x="198321" y="2713645"/>
                                        <a:ext cx="1334412" cy="417372"/>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诱导酵母表达目的蛋白，筛选高表达菌株</w:t>
                                          </w:r>
                                        </w:p>
                                      </w:txbxContent>
                                    </wps:txbx>
                                    <wps:bodyPr rot="0" spcFirstLastPara="0" vert="horz" wrap="square" lIns="91440" tIns="45720" rIns="91440" bIns="45720" numCol="1" spcCol="0" rtlCol="0" fromWordArt="0" anchor="t" anchorCtr="0" forceAA="0" compatLnSpc="1">
                                      <a:noAutofit/>
                                    </wps:bodyPr>
                                  </wps:wsp>
                                  <wps:wsp>
                                    <wps:cNvPr id="66" name="直接箭头连接符 152"/>
                                    <wps:cNvCnPr/>
                                    <wps:spPr>
                                      <a:xfrm>
                                        <a:off x="864475" y="512445"/>
                                        <a:ext cx="0" cy="24130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7" name="直接箭头连接符 1704"/>
                                    <wps:cNvCnPr/>
                                    <wps:spPr>
                                      <a:xfrm>
                                        <a:off x="1525685" y="254268"/>
                                        <a:ext cx="508959"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68" name="文本框 1700"/>
                                    <wps:cNvSpPr txBox="1"/>
                                    <wps:spPr>
                                      <a:xfrm>
                                        <a:off x="1984152" y="108768"/>
                                        <a:ext cx="714343" cy="296419"/>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废培养液</w:t>
                                          </w:r>
                                        </w:p>
                                      </w:txbxContent>
                                    </wps:txbx>
                                    <wps:bodyPr rot="0" spcFirstLastPara="0" vert="horz" wrap="square" lIns="91440" tIns="45720" rIns="91440" bIns="45720" numCol="1" spcCol="0" rtlCol="0" fromWordArt="0" anchor="t" anchorCtr="0" forceAA="0" compatLnSpc="1">
                                      <a:noAutofit/>
                                    </wps:bodyPr>
                                  </wps:wsp>
                                  <wps:wsp>
                                    <wps:cNvPr id="69" name="文本框 1700"/>
                                    <wps:cNvSpPr txBox="1"/>
                                    <wps:spPr>
                                      <a:xfrm>
                                        <a:off x="198333" y="1236996"/>
                                        <a:ext cx="1324743" cy="2578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检测细胞内蛋白分泌</w:t>
                                          </w:r>
                                        </w:p>
                                      </w:txbxContent>
                                    </wps:txbx>
                                    <wps:bodyPr rot="0" spcFirstLastPara="0" vert="horz" wrap="square" lIns="91440" tIns="45720" rIns="91440" bIns="45720" numCol="1" spcCol="0" rtlCol="0" fromWordArt="0" anchor="t" anchorCtr="0" forceAA="0" compatLnSpc="1">
                                      <a:noAutofit/>
                                    </wps:bodyPr>
                                  </wps:wsp>
                                  <wps:wsp>
                                    <wps:cNvPr id="70" name="文本框 1700"/>
                                    <wps:cNvSpPr txBox="1"/>
                                    <wps:spPr>
                                      <a:xfrm>
                                        <a:off x="207008" y="1725196"/>
                                        <a:ext cx="1318485" cy="2578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表达载体构建</w:t>
                                          </w:r>
                                        </w:p>
                                      </w:txbxContent>
                                    </wps:txbx>
                                    <wps:bodyPr rot="0" spcFirstLastPara="0" vert="horz" wrap="square" lIns="91440" tIns="45720" rIns="91440" bIns="45720" numCol="1" spcCol="0" rtlCol="0" fromWordArt="0" anchor="t" anchorCtr="0" forceAA="0" compatLnSpc="1">
                                      <a:noAutofit/>
                                    </wps:bodyPr>
                                  </wps:wsp>
                                  <wps:wsp>
                                    <wps:cNvPr id="71" name="文本框 1700"/>
                                    <wps:cNvSpPr txBox="1"/>
                                    <wps:spPr>
                                      <a:xfrm>
                                        <a:off x="198334" y="2223178"/>
                                        <a:ext cx="1327256" cy="25781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构建酵母表达工程菌</w:t>
                                          </w:r>
                                        </w:p>
                                      </w:txbxContent>
                                    </wps:txbx>
                                    <wps:bodyPr rot="0" spcFirstLastPara="0" vert="horz" wrap="square" lIns="91440" tIns="45720" rIns="91440" bIns="45720" numCol="1" spcCol="0" rtlCol="0" fromWordArt="0" anchor="t" anchorCtr="0" forceAA="0" compatLnSpc="1">
                                      <a:noAutofit/>
                                    </wps:bodyPr>
                                  </wps:wsp>
                                  <wps:wsp>
                                    <wps:cNvPr id="72" name="直接箭头连接符 38"/>
                                    <wps:cNvCnPr/>
                                    <wps:spPr>
                                      <a:xfrm>
                                        <a:off x="873112" y="998388"/>
                                        <a:ext cx="0" cy="24066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3" name="直接箭头连接符 39"/>
                                    <wps:cNvCnPr/>
                                    <wps:spPr>
                                      <a:xfrm>
                                        <a:off x="873548" y="1494851"/>
                                        <a:ext cx="0" cy="24066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4" name="直接箭头连接符 40"/>
                                    <wps:cNvCnPr/>
                                    <wps:spPr>
                                      <a:xfrm>
                                        <a:off x="882822" y="1983414"/>
                                        <a:ext cx="0" cy="2400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5" name="直接箭头连接符 41"/>
                                    <wps:cNvCnPr/>
                                    <wps:spPr>
                                      <a:xfrm>
                                        <a:off x="882887" y="2475314"/>
                                        <a:ext cx="0" cy="23939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6" name="直接箭头连接符 42"/>
                                    <wps:cNvCnPr/>
                                    <wps:spPr>
                                      <a:xfrm>
                                        <a:off x="882964" y="3134431"/>
                                        <a:ext cx="0" cy="23876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7" name="直接箭头连接符 44"/>
                                    <wps:cNvCnPr/>
                                    <wps:spPr>
                                      <a:xfrm>
                                        <a:off x="885623" y="3613201"/>
                                        <a:ext cx="0" cy="23876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8" name="文本框 1700"/>
                                    <wps:cNvSpPr txBox="1"/>
                                    <wps:spPr>
                                      <a:xfrm>
                                        <a:off x="198285" y="3354736"/>
                                        <a:ext cx="1334545" cy="2571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获得细胞因子蛋白</w:t>
                                          </w:r>
                                        </w:p>
                                      </w:txbxContent>
                                    </wps:txbx>
                                    <wps:bodyPr rot="0" spcFirstLastPara="0" vert="horz" wrap="square" lIns="91440" tIns="45720" rIns="91440" bIns="45720" numCol="1" spcCol="0" rtlCol="0" fromWordArt="0" anchor="t" anchorCtr="0" forceAA="0" compatLnSpc="1">
                                      <a:noAutofit/>
                                    </wps:bodyPr>
                                  </wps:wsp>
                                  <wps:wsp>
                                    <wps:cNvPr id="79" name="文本框 1700"/>
                                    <wps:cNvSpPr txBox="1"/>
                                    <wps:spPr>
                                      <a:xfrm>
                                        <a:off x="207020" y="3851462"/>
                                        <a:ext cx="1343074" cy="2571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产品验证</w:t>
                                          </w:r>
                                        </w:p>
                                      </w:txbxContent>
                                    </wps:txbx>
                                    <wps:bodyPr rot="0" spcFirstLastPara="0" vert="horz" wrap="square" lIns="91440" tIns="45720" rIns="91440" bIns="45720" numCol="1" spcCol="0" rtlCol="0" fromWordArt="0" anchor="t" anchorCtr="0" forceAA="0" compatLnSpc="1">
                                      <a:noAutofit/>
                                    </wps:bodyPr>
                                  </wps:wsp>
                                  <wps:wsp>
                                    <wps:cNvPr id="80" name="直接箭头连接符 49"/>
                                    <wps:cNvCnPr/>
                                    <wps:spPr>
                                      <a:xfrm>
                                        <a:off x="1517563" y="881199"/>
                                        <a:ext cx="508635"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81" name="文本框 1700"/>
                                    <wps:cNvSpPr txBox="1"/>
                                    <wps:spPr>
                                      <a:xfrm>
                                        <a:off x="1976033" y="735784"/>
                                        <a:ext cx="713740" cy="29591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废培养液</w:t>
                                          </w:r>
                                        </w:p>
                                      </w:txbxContent>
                                    </wps:txbx>
                                    <wps:bodyPr rot="0" spcFirstLastPara="0" vert="horz" wrap="square" lIns="91440" tIns="45720" rIns="91440" bIns="45720" numCol="1" spcCol="0" rtlCol="0" fromWordArt="0" anchor="t" anchorCtr="0" forceAA="0" compatLnSpc="1">
                                      <a:noAutofit/>
                                    </wps:bodyPr>
                                  </wps:wsp>
                                  <wps:wsp>
                                    <wps:cNvPr id="82" name="直接箭头连接符 51"/>
                                    <wps:cNvCnPr/>
                                    <wps:spPr>
                                      <a:xfrm>
                                        <a:off x="1524832" y="1353600"/>
                                        <a:ext cx="508000"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83" name="文本框 1700"/>
                                    <wps:cNvSpPr txBox="1"/>
                                    <wps:spPr>
                                      <a:xfrm>
                                        <a:off x="1983302" y="1208185"/>
                                        <a:ext cx="713105" cy="29527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研发残液</w:t>
                                          </w:r>
                                        </w:p>
                                      </w:txbxContent>
                                    </wps:txbx>
                                    <wps:bodyPr rot="0" spcFirstLastPara="0" vert="horz" wrap="square" lIns="91440" tIns="45720" rIns="91440" bIns="45720" numCol="1" spcCol="0" rtlCol="0" fromWordArt="0" anchor="t" anchorCtr="0" forceAA="0" compatLnSpc="1">
                                      <a:noAutofit/>
                                    </wps:bodyPr>
                                  </wps:wsp>
                                  <wps:wsp>
                                    <wps:cNvPr id="84" name="直接箭头连接符 54"/>
                                    <wps:cNvCnPr/>
                                    <wps:spPr>
                                      <a:xfrm>
                                        <a:off x="1532927" y="1862298"/>
                                        <a:ext cx="507365"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85" name="文本框 1700"/>
                                    <wps:cNvSpPr txBox="1"/>
                                    <wps:spPr>
                                      <a:xfrm>
                                        <a:off x="1991360" y="1724660"/>
                                        <a:ext cx="712470" cy="29464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废培养基</w:t>
                                          </w:r>
                                        </w:p>
                                      </w:txbxContent>
                                    </wps:txbx>
                                    <wps:bodyPr rot="0" spcFirstLastPara="0" vert="horz" wrap="square" lIns="91440" tIns="45720" rIns="91440" bIns="45720" numCol="1" spcCol="0" rtlCol="0" fromWordArt="0" anchor="t" anchorCtr="0" forceAA="0" compatLnSpc="1">
                                      <a:noAutofit/>
                                    </wps:bodyPr>
                                  </wps:wsp>
                                  <wps:wsp>
                                    <wps:cNvPr id="86" name="直接箭头连接符 57"/>
                                    <wps:cNvCnPr/>
                                    <wps:spPr>
                                      <a:xfrm>
                                        <a:off x="1532813" y="2367414"/>
                                        <a:ext cx="507365"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87" name="文本框 1700"/>
                                    <wps:cNvSpPr txBox="1"/>
                                    <wps:spPr>
                                      <a:xfrm>
                                        <a:off x="1991034" y="2221421"/>
                                        <a:ext cx="1261126" cy="29464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研发残液、废培养基</w:t>
                                          </w:r>
                                        </w:p>
                                      </w:txbxContent>
                                    </wps:txbx>
                                    <wps:bodyPr rot="0" spcFirstLastPara="0" vert="horz" wrap="square" lIns="91440" tIns="45720" rIns="91440" bIns="45720" numCol="1" spcCol="0" rtlCol="0" fromWordArt="0" anchor="t" anchorCtr="0" forceAA="0" compatLnSpc="1">
                                      <a:noAutofit/>
                                    </wps:bodyPr>
                                  </wps:wsp>
                                  <wps:wsp>
                                    <wps:cNvPr id="88" name="直接箭头连接符 59"/>
                                    <wps:cNvCnPr/>
                                    <wps:spPr>
                                      <a:xfrm>
                                        <a:off x="1533101" y="2932748"/>
                                        <a:ext cx="506730"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89" name="文本框 1700"/>
                                    <wps:cNvSpPr txBox="1"/>
                                    <wps:spPr>
                                      <a:xfrm>
                                        <a:off x="1991571" y="2786698"/>
                                        <a:ext cx="1260475" cy="29400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研发残液、废培养基</w:t>
                                          </w:r>
                                        </w:p>
                                      </w:txbxContent>
                                    </wps:txbx>
                                    <wps:bodyPr rot="0" spcFirstLastPara="0" vert="horz" wrap="square" lIns="91440" tIns="45720" rIns="91440" bIns="45720" numCol="1" spcCol="0" rtlCol="0" fromWordArt="0" anchor="t" anchorCtr="0" forceAA="0" compatLnSpc="1">
                                      <a:noAutofit/>
                                    </wps:bodyPr>
                                  </wps:wsp>
                                  <wps:wsp>
                                    <wps:cNvPr id="90" name="直接箭头连接符 61"/>
                                    <wps:cNvCnPr/>
                                    <wps:spPr>
                                      <a:xfrm>
                                        <a:off x="1533101" y="3490570"/>
                                        <a:ext cx="506730"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91" name="文本框 1700"/>
                                    <wps:cNvSpPr txBox="1"/>
                                    <wps:spPr>
                                      <a:xfrm>
                                        <a:off x="1991105" y="3343221"/>
                                        <a:ext cx="637796" cy="29400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残液</w:t>
                                          </w:r>
                                        </w:p>
                                      </w:txbxContent>
                                    </wps:txbx>
                                    <wps:bodyPr rot="0" spcFirstLastPara="0" vert="horz" wrap="square" lIns="91440" tIns="45720" rIns="91440" bIns="45720" numCol="1" spcCol="0" rtlCol="0" fromWordArt="0" anchor="t" anchorCtr="0" forceAA="0" compatLnSpc="1">
                                      <a:noAutofit/>
                                    </wps:bodyPr>
                                  </wps:wsp>
                                  <wps:wsp>
                                    <wps:cNvPr id="92" name="直接箭头连接符 63"/>
                                    <wps:cNvCnPr/>
                                    <wps:spPr>
                                      <a:xfrm>
                                        <a:off x="1567611" y="3967661"/>
                                        <a:ext cx="506730" cy="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wps:wsp>
                                    <wps:cNvPr id="93" name="文本框 1700"/>
                                    <wps:cNvSpPr txBox="1"/>
                                    <wps:spPr>
                                      <a:xfrm>
                                        <a:off x="2025953" y="3821116"/>
                                        <a:ext cx="820764" cy="29400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pPr>
                                            <w:pStyle w:val="24"/>
                                            <w:spacing w:before="0" w:beforeAutospacing="0" w:after="0" w:afterAutospacing="0" w:line="240" w:lineRule="exact"/>
                                            <w:jc w:val="center"/>
                                          </w:pPr>
                                          <w:r>
                                            <w:rPr>
                                              <w:rFonts w:hint="eastAsia" w:ascii="Times New Roman"/>
                                              <w:kern w:val="2"/>
                                              <w:sz w:val="18"/>
                                              <w:szCs w:val="18"/>
                                            </w:rPr>
                                            <w:t>废培养基</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22.35pt;width:270pt;" coordsize="3429000,4093845" editas="canvas" o:gfxdata="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">
                            <o:lock v:ext="edit" aspectratio="f"/>
                            <v:shape id="_x0000_s1026" o:spid="_x0000_s1026" style="position:absolute;left:0;top:0;height:4093845;width:3429000;" filled="f" stroked="f" coordsize="21600,21600" o:gfxdata="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">
                              <v:fill on="f" focussize="0,0"/>
                              <v:stroke on="f"/>
                              <v:imagedata o:title=""/>
                              <o:lock v:ext="edit" aspectratio="t"/>
                            </v:shape>
                            <v:shape id="文本框 1700" o:spid="_x0000_s1026" o:spt="202" type="#_x0000_t202" style="position:absolute;left:207021;top:36009;height:431338;width:1308734;"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WMpr9gAAAAFAQAADwAAAAAAAAABACAAAAAiAAAAZHJzL2Rvd25yZXYueG1s&#10;UEsBAhQAFAAAAAgAh07iQIj1SB5qAgAA0wQAAA4AAAAAAAAAAQAgAAAAJwEAAGRycy9lMm9Eb2Mu&#10;eG1sUEsFBgAAAAAGAAYAWQEAAAMGAAAAAA==&#10;">
                              <v:fill on="t" focussize="0,0"/>
                              <v:stroke weight="1pt" color="#000000 [3204]" joinstyle="round"/>
                              <v:imagedata o:title=""/>
                              <o:lock v:ext="edit" aspectratio="f"/>
                              <v:textbox>
                                <w:txbxContent>
                                  <w:p>
                                    <w:pPr>
                                      <w:spacing w:line="240" w:lineRule="exact"/>
                                      <w:jc w:val="center"/>
                                      <w:rPr>
                                        <w:sz w:val="18"/>
                                      </w:rPr>
                                    </w:pPr>
                                    <w:r>
                                      <w:rPr>
                                        <w:rFonts w:hint="eastAsia"/>
                                        <w:sz w:val="18"/>
                                      </w:rPr>
                                      <w:t>筛选需要添加的细胞生长因子及最佳浓度</w:t>
                                    </w:r>
                                  </w:p>
                                </w:txbxContent>
                              </v:textbox>
                            </v:shape>
                            <v:shape id="文本框 1700" o:spid="_x0000_s1026" o:spt="202" type="#_x0000_t202" style="position:absolute;left:198345;top:747343;height:258445;width:1308114;"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1jKa/Y&#10;AAAABQEAAA8AAAAAAAAAAQAgAAAAIgAAAGRycy9kb3ducmV2LnhtbFBLAQIUABQAAAAIAIdO4kCR&#10;CvkdWQIAAKQEAAAOAAAAAAAAAAEAIAAAACcBAABkcnMvZTJvRG9jLnhtbFBLBQYAAAAABgAGAFkB&#10;AADyBQAAAAA=&#10;">
                              <v:fill on="t" focussize="0,0"/>
                              <v:stroke weight="1pt" color="#000000 [3204]" joinstyle="round"/>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检测细胞增殖</w:t>
                                    </w:r>
                                  </w:p>
                                </w:txbxContent>
                              </v:textbox>
                            </v:shape>
                            <v:shape id="文本框 1700" o:spid="_x0000_s1026" o:spt="202" type="#_x0000_t202" style="position:absolute;left:198321;top:2713645;height:417372;width:1334412;"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Yymv&#10;2AAAAAUBAAAPAAAAAAAAAAEAIAAAACIAAABkcnMvZG93bnJldi54bWxQSwECFAAUAAAACACHTuJA&#10;YJQKX1oCAAClBAAADgAAAAAAAAABACAAAAAnAQAAZHJzL2Uyb0RvYy54bWxQSwUGAAAAAAYABgBZ&#10;AQAA8wUAAAAA&#10;">
                              <v:fill on="t" focussize="0,0"/>
                              <v:stroke weight="1pt" color="#000000 [3204]" joinstyle="round"/>
                              <v:imagedata o:title=""/>
                              <o:lock v:ext="edit" aspectratio="f"/>
                              <v:textbo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诱导酵母表达目的蛋白，筛选高表达菌株</w:t>
                                    </w:r>
                                  </w:p>
                                </w:txbxContent>
                              </v:textbox>
                            </v:shape>
                            <v:shape id="直接箭头连接符 152" o:spid="_x0000_s1026" o:spt="32" type="#_x0000_t32" style="position:absolute;left:864475;top:512445;height:241300;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Q41HUAAAABQEAAA8AAAAAAAAA&#10;AQAgAAAAIgAAAGRycy9kb3ducmV2LnhtbFBLAQIUABQAAAAIAIdO4kAc0nBHFQIAAO4DAAAOAAAA&#10;AAAAAAEAIAAAACMBAABkcnMvZTJvRG9jLnhtbFBLBQYAAAAABgAGAFkBAACqBQAAAAA=&#10;">
                              <v:fill on="f" focussize="0,0"/>
                              <v:stroke weight="1pt" color="#000000 [3200]" miterlimit="8" joinstyle="miter" endarrow="block"/>
                              <v:imagedata o:title=""/>
                              <o:lock v:ext="edit" aspectratio="f"/>
                            </v:shape>
                            <v:shape id="直接箭头连接符 1704" o:spid="_x0000_s1026" o:spt="32" type="#_x0000_t32" style="position:absolute;left:1525685;top:254268;height:0;width:508959;"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fAlN1QAAAAUBAAAPAAAA&#10;AAAAAAEAIAAAACIAAABkcnMvZG93bnJldi54bWxQSwECFAAUAAAACACHTuJAk9SyuRgCAADvAwAA&#10;DgAAAAAAAAABACAAAAAkAQAAZHJzL2Uyb0RvYy54bWxQSwUGAAAAAAYABgBZAQAArgUAAAAA&#10;">
                              <v:fill on="f" focussize="0,0"/>
                              <v:stroke weight="1pt" color="#000000 [3200]" miterlimit="8" joinstyle="miter" dashstyle="dash" endarrow="block"/>
                              <v:imagedata o:title=""/>
                              <o:lock v:ext="edit" aspectratio="f"/>
                            </v:shape>
                            <v:shape id="文本框 1700" o:spid="_x0000_s1026" o:spt="202" type="#_x0000_t202" style="position:absolute;left:1984152;top:108768;height:296419;width:714343;"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w3QHvUAAAABQEAAA8AAAAAAAAAAQAgAAAAIgAAAGRycy9kb3ducmV2&#10;LnhtbFBLAQIUABQAAAAIAIdO4kDJ88vmOQIAAFMEAAAOAAAAAAAAAAEAIAAAACMBAABkcnMvZTJv&#10;RG9jLnhtbFBLBQYAAAAABgAGAFkBAADOBQ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废培养液</w:t>
                                    </w:r>
                                  </w:p>
                                </w:txbxContent>
                              </v:textbox>
                            </v:shape>
                            <v:shape id="文本框 1700" o:spid="_x0000_s1026" o:spt="202" type="#_x0000_t202" style="position:absolute;left:198333;top:1236996;height:257810;width:1324743;"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1jKa/Y&#10;AAAABQEAAA8AAAAAAAAAAQAgAAAAIgAAAGRycy9kb3ducmV2LnhtbFBLAQIUABQAAAAIAIdO4kCU&#10;PtXRWQIAAKUEAAAOAAAAAAAAAAEAIAAAACcBAABkcnMvZTJvRG9jLnhtbFBLBQYAAAAABgAGAFkB&#10;AADyBQAAAAA=&#10;">
                              <v:fill on="t" focussize="0,0"/>
                              <v:stroke weight="1pt" color="#000000 [3204]" joinstyle="round"/>
                              <v:imagedata o:title=""/>
                              <o:lock v:ext="edit" aspectratio="f"/>
                              <v:textbo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检测细胞内蛋白分泌</w:t>
                                    </w:r>
                                  </w:p>
                                </w:txbxContent>
                              </v:textbox>
                            </v:shape>
                            <v:shape id="文本框 1700" o:spid="_x0000_s1026" o:spt="202" type="#_x0000_t202" style="position:absolute;left:207008;top:1725196;height:257810;width:1318485;"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1jKa/Y&#10;AAAABQEAAA8AAAAAAAAAAQAgAAAAIgAAAGRycy9kb3ducmV2LnhtbFBLAQIUABQAAAAIAIdO4kCL&#10;QCqpWQIAAKUEAAAOAAAAAAAAAAEAIAAAACcBAABkcnMvZTJvRG9jLnhtbFBLBQYAAAAABgAGAFkB&#10;AADyBQAAAAA=&#10;">
                              <v:fill on="t" focussize="0,0"/>
                              <v:stroke weight="1pt" color="#000000 [3204]" joinstyle="round"/>
                              <v:imagedata o:title=""/>
                              <o:lock v:ext="edit" aspectratio="f"/>
                              <v:textbo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表达载体构建</w:t>
                                    </w:r>
                                  </w:p>
                                </w:txbxContent>
                              </v:textbox>
                            </v:shape>
                            <v:shape id="文本框 1700" o:spid="_x0000_s1026" o:spt="202" type="#_x0000_t202" style="position:absolute;left:198334;top:2223178;height:257810;width:1327256;"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Yymv&#10;2AAAAAUBAAAPAAAAAAAAAAEAIAAAACIAAABkcnMvZG93bnJldi54bWxQSwECFAAUAAAACACHTuJA&#10;8aw+SVoCAAClBAAADgAAAAAAAAABACAAAAAnAQAAZHJzL2Uyb0RvYy54bWxQSwUGAAAAAAYABgBZ&#10;AQAA8wUAAAAA&#10;">
                              <v:fill on="t" focussize="0,0"/>
                              <v:stroke weight="1pt" color="#000000 [3204]" joinstyle="round"/>
                              <v:imagedata o:title=""/>
                              <o:lock v:ext="edit" aspectratio="f"/>
                              <v:textbox>
                                <w:txbxContent>
                                  <w:p>
                                    <w:pPr>
                                      <w:pStyle w:val="24"/>
                                      <w:spacing w:before="0" w:beforeAutospacing="0" w:after="0" w:afterAutospacing="0" w:line="240" w:lineRule="exact"/>
                                      <w:jc w:val="center"/>
                                      <w:rPr>
                                        <w:rFonts w:ascii="Times New Roman"/>
                                        <w:kern w:val="2"/>
                                        <w:sz w:val="18"/>
                                        <w:szCs w:val="18"/>
                                      </w:rPr>
                                    </w:pPr>
                                    <w:r>
                                      <w:rPr>
                                        <w:rFonts w:hint="eastAsia" w:ascii="Times New Roman"/>
                                        <w:kern w:val="2"/>
                                        <w:sz w:val="18"/>
                                        <w:szCs w:val="18"/>
                                      </w:rPr>
                                      <w:t>构建酵母表达工程菌</w:t>
                                    </w:r>
                                  </w:p>
                                </w:txbxContent>
                              </v:textbox>
                            </v:shape>
                            <v:shape id="直接箭头连接符 38" o:spid="_x0000_s1026" o:spt="32" type="#_x0000_t32" style="position:absolute;left:873112;top:998388;height:240665;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kONR1AAAAAUBAAAPAAAAAAAAAAEA&#10;IAAAACIAAABkcnMvZG93bnJldi54bWxQSwECFAAUAAAACACHTuJAR2LV2BMCAADtAwAADgAAAAAA&#10;AAABACAAAAAjAQAAZHJzL2Uyb0RvYy54bWxQSwUGAAAAAAYABgBZAQAAqAUAAAAA&#10;">
                              <v:fill on="f" focussize="0,0"/>
                              <v:stroke weight="1pt" color="#000000 [3200]" miterlimit="8" joinstyle="miter" endarrow="block"/>
                              <v:imagedata o:title=""/>
                              <o:lock v:ext="edit" aspectratio="f"/>
                            </v:shape>
                            <v:shape id="直接箭头连接符 39" o:spid="_x0000_s1026" o:spt="32" type="#_x0000_t32" style="position:absolute;left:873548;top:1494851;height:240665;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Q41HUAAAABQEAAA8AAAAAAAAAAQAg&#10;AAAAIgAAAGRycy9kb3ducmV2LnhtbFBLAQIUABQAAAAIAIdO4kB7zNQxEgIAAO4DAAAOAAAAAAAA&#10;AAEAIAAAACMBAABkcnMvZTJvRG9jLnhtbFBLBQYAAAAABgAGAFkBAACnBQAAAAA=&#10;">
                              <v:fill on="f" focussize="0,0"/>
                              <v:stroke weight="1pt" color="#000000 [3200]" miterlimit="8" joinstyle="miter" endarrow="block"/>
                              <v:imagedata o:title=""/>
                              <o:lock v:ext="edit" aspectratio="f"/>
                            </v:shape>
                            <v:shape id="直接箭头连接符 40" o:spid="_x0000_s1026" o:spt="32" type="#_x0000_t32" style="position:absolute;left:882822;top:1983414;height:240030;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5DjUdQAAAAFAQAADwAAAAAAAAABACAA&#10;AAAiAAAAZHJzL2Rvd25yZXYueG1sUEsBAhQAFAAAAAgAh07iQPz1sSsRAgAA7gMAAA4AAAAAAAAA&#10;AQAgAAAAIwEAAGRycy9lMm9Eb2MueG1sUEsFBgAAAAAGAAYAWQEAAKYFAAAAAA==&#10;">
                              <v:fill on="f" focussize="0,0"/>
                              <v:stroke weight="1pt" color="#000000 [3200]" miterlimit="8" joinstyle="miter" endarrow="block"/>
                              <v:imagedata o:title=""/>
                              <o:lock v:ext="edit" aspectratio="f"/>
                            </v:shape>
                            <v:shape id="直接箭头连接符 41" o:spid="_x0000_s1026" o:spt="32" type="#_x0000_t32" style="position:absolute;left:882887;top:2475314;height:239395;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kONR1AAAAAUBAAAPAAAAAAAAAAEA&#10;IAAAACIAAABkcnMvZG93bnJldi54bWxQSwECFAAUAAAACACHTuJAu6G4vhMCAADuAwAADgAAAAAA&#10;AAABACAAAAAjAQAAZHJzL2Uyb0RvYy54bWxQSwUGAAAAAAYABgBZAQAAqAUAAAAA&#10;">
                              <v:fill on="f" focussize="0,0"/>
                              <v:stroke weight="1pt" color="#000000 [3200]" miterlimit="8" joinstyle="miter" endarrow="block"/>
                              <v:imagedata o:title=""/>
                              <o:lock v:ext="edit" aspectratio="f"/>
                            </v:shape>
                            <v:shape id="直接箭头连接符 42" o:spid="_x0000_s1026" o:spt="32" type="#_x0000_t32" style="position:absolute;left:882964;top:3134431;height:238760;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5DjUdQAAAAFAQAADwAAAAAAAAAB&#10;ACAAAAAiAAAAZHJzL2Rvd25yZXYueG1sUEsBAhQAFAAAAAgAh07iQADEdDoUAgAA7gMAAA4AAAAA&#10;AAAAAQAgAAAAIwEAAGRycy9lMm9Eb2MueG1sUEsFBgAAAAAGAAYAWQEAAKkFAAAAAA==&#10;">
                              <v:fill on="f" focussize="0,0"/>
                              <v:stroke weight="1pt" color="#000000 [3200]" miterlimit="8" joinstyle="miter" endarrow="block"/>
                              <v:imagedata o:title=""/>
                              <o:lock v:ext="edit" aspectratio="f"/>
                            </v:shape>
                            <v:shape id="直接箭头连接符 44" o:spid="_x0000_s1026" o:spt="32" type="#_x0000_t32" style="position:absolute;left:885623;top:3613201;height:238760;width:0;" filled="f" stroked="t" coordsize="21600,21600" o:gfxdata="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kONR1AAAAAUBAAAPAAAAAAAAAAEA&#10;IAAAACIAAABkcnMvZG93bnJldi54bWxQSwECFAAUAAAACACHTuJAHEqn4BMCAADuAwAADgAAAAAA&#10;AAABACAAAAAjAQAAZHJzL2Uyb0RvYy54bWxQSwUGAAAAAAYABgBZAQAAqAUAAAAA&#10;">
                              <v:fill on="f" focussize="0,0"/>
                              <v:stroke weight="1pt" color="#000000 [3200]" miterlimit="8" joinstyle="miter" endarrow="block"/>
                              <v:imagedata o:title=""/>
                              <o:lock v:ext="edit" aspectratio="f"/>
                            </v:shape>
                            <v:shape id="文本框 1700" o:spid="_x0000_s1026" o:spt="202" type="#_x0000_t202" style="position:absolute;left:198285;top:3354736;height:257175;width:1334545;"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WMpr9gA&#10;AAAFAQAADwAAAAAAAAABACAAAAAiAAAAZHJzL2Rvd25yZXYueG1sUEsBAhQAFAAAAAgAh07iQCla&#10;OKlYAgAApQQAAA4AAAAAAAAAAQAgAAAAJwEAAGRycy9lMm9Eb2MueG1sUEsFBgAAAAAGAAYAWQEA&#10;APEFAAAAAA==&#10;">
                              <v:fill on="t" focussize="0,0"/>
                              <v:stroke weight="1pt" color="#000000 [3204]" joinstyle="round"/>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获得细胞因子蛋白</w:t>
                                    </w:r>
                                  </w:p>
                                </w:txbxContent>
                              </v:textbox>
                            </v:shape>
                            <v:shape id="文本框 1700" o:spid="_x0000_s1026" o:spt="202" type="#_x0000_t202" style="position:absolute;left:207020;top:3851462;height:257175;width:1343074;" fillcolor="#FFFFFF [3201]" filled="t" stroked="t" coordsize="21600,21600" o:gfxdata="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dYymv&#10;2AAAAAUBAAAPAAAAAAAAAAEAIAAAACIAAABkcnMvZG93bnJldi54bWxQSwECFAAUAAAACACHTuJA&#10;gXlC/1oCAAClBAAADgAAAAAAAAABACAAAAAnAQAAZHJzL2Uyb0RvYy54bWxQSwUGAAAAAAYABgBZ&#10;AQAA8wUAAAAA&#10;">
                              <v:fill on="t" focussize="0,0"/>
                              <v:stroke weight="1pt" color="#000000 [3204]" joinstyle="round"/>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产品验证</w:t>
                                    </w:r>
                                  </w:p>
                                </w:txbxContent>
                              </v:textbox>
                            </v:shape>
                            <v:shape id="直接箭头连接符 49" o:spid="_x0000_s1026" o:spt="32" type="#_x0000_t32" style="position:absolute;left:1517563;top:881199;height:0;width:508635;"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fAlN1QAAAAUBAAAPAAAAAAAA&#10;AAEAIAAAACIAAABkcnMvZG93bnJldi54bWxQSwECFAAUAAAACACHTuJAsiYaERUCAADtAwAADgAA&#10;AAAAAAABACAAAAAkAQAAZHJzL2Uyb0RvYy54bWxQSwUGAAAAAAYABgBZAQAAqwUAAAAA&#10;">
                              <v:fill on="f" focussize="0,0"/>
                              <v:stroke weight="1pt" color="#000000 [3200]" miterlimit="8" joinstyle="miter" dashstyle="dash" endarrow="block"/>
                              <v:imagedata o:title=""/>
                              <o:lock v:ext="edit" aspectratio="f"/>
                            </v:shape>
                            <v:shape id="文本框 1700" o:spid="_x0000_s1026" o:spt="202" type="#_x0000_t202" style="position:absolute;left:1976033;top:735784;height:295910;width:713740;"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3QHvUAAAABQEAAA8AAAAAAAAAAQAgAAAAIgAAAGRycy9kb3du&#10;cmV2LnhtbFBLAQIUABQAAAAIAIdO4kAbuw12PAIAAFMEAAAOAAAAAAAAAAEAIAAAACMBAABkcnMv&#10;ZTJvRG9jLnhtbFBLBQYAAAAABgAGAFkBAADRBQ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废培养液</w:t>
                                    </w:r>
                                  </w:p>
                                </w:txbxContent>
                              </v:textbox>
                            </v:shape>
                            <v:shape id="直接箭头连接符 51" o:spid="_x0000_s1026" o:spt="32" type="#_x0000_t32" style="position:absolute;left:1524832;top:1353600;height:0;width:508000;"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18CU3VAAAABQEAAA8AAAAAAAAAAQAg&#10;AAAAIgAAAGRycy9kb3ducmV2LnhtbFBLAQIUABQAAAAIAIdO4kDe7gEiEQIAAO4DAAAOAAAAAAAA&#10;AAEAIAAAACQBAABkcnMvZTJvRG9jLnhtbFBLBQYAAAAABgAGAFkBAACnBQAAAAA=&#10;">
                              <v:fill on="f" focussize="0,0"/>
                              <v:stroke weight="1pt" color="#000000 [3200]" miterlimit="8" joinstyle="miter" dashstyle="dash" endarrow="block"/>
                              <v:imagedata o:title=""/>
                              <o:lock v:ext="edit" aspectratio="f"/>
                            </v:shape>
                            <v:shape id="文本框 1700" o:spid="_x0000_s1026" o:spt="202" type="#_x0000_t202" style="position:absolute;left:1983302;top:1208185;height:295275;width:713105;"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DdAe9QAAAAFAQAADwAAAAAAAAABACAAAAAiAAAAZHJzL2Rvd25y&#10;ZXYueG1sUEsBAhQAFAAAAAgAh07iQMJFG2E7AgAAVAQAAA4AAAAAAAAAAQAgAAAAIwEAAGRycy9l&#10;Mm9Eb2MueG1sUEsFBgAAAAAGAAYAWQEAANAFA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研发残液</w:t>
                                    </w:r>
                                  </w:p>
                                </w:txbxContent>
                              </v:textbox>
                            </v:shape>
                            <v:shape id="直接箭头连接符 54" o:spid="_x0000_s1026" o:spt="32" type="#_x0000_t32" style="position:absolute;left:1532927;top:1862298;height:0;width:507365;"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XwJTdUAAAAFAQAADwAAAAAA&#10;AAABACAAAAAiAAAAZHJzL2Rvd25yZXYueG1sUEsBAhQAFAAAAAgAh07iQEDsQgMWAgAA7gMAAA4A&#10;AAAAAAAAAQAgAAAAJAEAAGRycy9lMm9Eb2MueG1sUEsFBgAAAAAGAAYAWQEAAKwFAAAAAA==&#10;">
                              <v:fill on="f" focussize="0,0"/>
                              <v:stroke weight="1pt" color="#000000 [3200]" miterlimit="8" joinstyle="miter" dashstyle="dash" endarrow="block"/>
                              <v:imagedata o:title=""/>
                              <o:lock v:ext="edit" aspectratio="f"/>
                            </v:shape>
                            <v:shape id="文本框 1700" o:spid="_x0000_s1026" o:spt="202" type="#_x0000_t202" style="position:absolute;left:1991360;top:1724660;height:294640;width:712470;"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DdAe9QAAAAFAQAADwAAAAAAAAABACAAAAAiAAAAZHJzL2Rvd25y&#10;ZXYueG1sUEsBAhQAFAAAAAgAh07iQIXSe4s7AgAAVAQAAA4AAAAAAAAAAQAgAAAAIwEAAGRycy9l&#10;Mm9Eb2MueG1sUEsFBgAAAAAGAAYAWQEAANAFA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废培养基</w:t>
                                    </w:r>
                                  </w:p>
                                </w:txbxContent>
                              </v:textbox>
                            </v:shape>
                            <v:shape id="直接箭头连接符 57" o:spid="_x0000_s1026" o:spt="32" type="#_x0000_t32" style="position:absolute;left:1532813;top:2367414;height:0;width:507365;"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18CU3VAAAABQEAAA8AAAAA&#10;AAAAAQAgAAAAIgAAAGRycy9kb3ducmV2LnhtbFBLAQIUABQAAAAIAIdO4kDw4dNrFwIAAO4DAAAO&#10;AAAAAAAAAAEAIAAAACQBAABkcnMvZTJvRG9jLnhtbFBLBQYAAAAABgAGAFkBAACtBQAAAAA=&#10;">
                              <v:fill on="f" focussize="0,0"/>
                              <v:stroke weight="1pt" color="#000000 [3200]" miterlimit="8" joinstyle="miter" dashstyle="dash" endarrow="block"/>
                              <v:imagedata o:title=""/>
                              <o:lock v:ext="edit" aspectratio="f"/>
                            </v:shape>
                            <v:shape id="文本框 1700" o:spid="_x0000_s1026" o:spt="202" type="#_x0000_t202" style="position:absolute;left:1991034;top:2221421;height:294640;width:1261126;"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3QHvUAAAABQEAAA8AAAAAAAAAAQAgAAAAIgAAAGRycy9kb3du&#10;cmV2LnhtbFBLAQIUABQAAAAIAIdO4kDL51ZFPAIAAFUEAAAOAAAAAAAAAAEAIAAAACMBAABkcnMv&#10;ZTJvRG9jLnhtbFBLBQYAAAAABgAGAFkBAADRBQ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研发残液、废培养基</w:t>
                                    </w:r>
                                  </w:p>
                                </w:txbxContent>
                              </v:textbox>
                            </v:shape>
                            <v:shape id="直接箭头连接符 59" o:spid="_x0000_s1026" o:spt="32" type="#_x0000_t32" style="position:absolute;left:1533101;top:2932748;height:0;width:506730;"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XwJTdUAAAAFAQAADwAAAAAA&#10;AAABACAAAAAiAAAAZHJzL2Rvd25yZXYueG1sUEsBAhQAFAAAAAgAh07iQCMoBvEWAgAA7gMAAA4A&#10;AAAAAAAAAQAgAAAAJAEAAGRycy9lMm9Eb2MueG1sUEsFBgAAAAAGAAYAWQEAAKwFAAAAAA==&#10;">
                              <v:fill on="f" focussize="0,0"/>
                              <v:stroke weight="1pt" color="#000000 [3200]" miterlimit="8" joinstyle="miter" dashstyle="dash" endarrow="block"/>
                              <v:imagedata o:title=""/>
                              <o:lock v:ext="edit" aspectratio="f"/>
                            </v:shape>
                            <v:shape id="文本框 1700" o:spid="_x0000_s1026" o:spt="202" type="#_x0000_t202" style="position:absolute;left:1991571;top:2786698;height:294005;width:1260475;"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MN0B71AAAAAUBAAAPAAAAAAAAAAEAIAAAACIAAABkcnMvZG93bnJl&#10;di54bWxQSwECFAAUAAAACACHTuJA/FJvLzoCAABVBAAADgAAAAAAAAABACAAAAAjAQAAZHJzL2Uy&#10;b0RvYy54bWxQSwUGAAAAAAYABgBZAQAAzwU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研发残液、废培养基</w:t>
                                    </w:r>
                                  </w:p>
                                </w:txbxContent>
                              </v:textbox>
                            </v:shape>
                            <v:shape id="直接箭头连接符 61" o:spid="_x0000_s1026" o:spt="32" type="#_x0000_t32" style="position:absolute;left:1533101;top:3490570;height:0;width:506730;"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fAlN1QAAAAUBAAAPAAAAAAAA&#10;AAEAIAAAACIAAABkcnMvZG93bnJldi54bWxQSwECFAAUAAAACACHTuJAhq0Z8BUCAADuAwAADgAA&#10;AAAAAAABACAAAAAkAQAAZHJzL2Uyb0RvYy54bWxQSwUGAAAAAAYABgBZAQAAqwUAAAAA&#10;">
                              <v:fill on="f" focussize="0,0"/>
                              <v:stroke weight="1pt" color="#000000 [3200]" miterlimit="8" joinstyle="miter" dashstyle="dash" endarrow="block"/>
                              <v:imagedata o:title=""/>
                              <o:lock v:ext="edit" aspectratio="f"/>
                            </v:shape>
                            <v:shape id="文本框 1700" o:spid="_x0000_s1026" o:spt="202" type="#_x0000_t202" style="position:absolute;left:1991105;top:3343221;height:294005;width:637796;"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3QHvUAAAABQEAAA8AAAAAAAAAAQAgAAAAIgAAAGRycy9kb3du&#10;cmV2LnhtbFBLAQIUABQAAAAIAIdO4kDl0xxpPAIAAFQEAAAOAAAAAAAAAAEAIAAAACMBAABkcnMv&#10;ZTJvRG9jLnhtbFBLBQYAAAAABgAGAFkBAADRBQ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残液</w:t>
                                    </w:r>
                                  </w:p>
                                </w:txbxContent>
                              </v:textbox>
                            </v:shape>
                            <v:shape id="直接箭头连接符 63" o:spid="_x0000_s1026" o:spt="32" type="#_x0000_t32" style="position:absolute;left:1567611;top:3967661;height:0;width:506730;" filled="f" stroked="t" coordsize="21600,21600" o:gfxdata="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fAlN1QAAAAUBAAAPAAAAAAAA&#10;AAEAIAAAACIAAABkcnMvZG93bnJldi54bWxQSwECFAAUAAAACACHTuJA0ZnW6RUCAADuAwAADgAA&#10;AAAAAAABACAAAAAkAQAAZHJzL2Uyb0RvYy54bWxQSwUGAAAAAAYABgBZAQAAqwUAAAAA&#10;">
                              <v:fill on="f" focussize="0,0"/>
                              <v:stroke weight="1pt" color="#000000 [3200]" miterlimit="8" joinstyle="miter" dashstyle="dash" endarrow="block"/>
                              <v:imagedata o:title=""/>
                              <o:lock v:ext="edit" aspectratio="f"/>
                            </v:shape>
                            <v:shape id="文本框 1700" o:spid="_x0000_s1026" o:spt="202" type="#_x0000_t202" style="position:absolute;left:2025953;top:3821116;height:294005;width:820764;" filled="f" stroked="f" coordsize="21600,21600" o:gfxdata="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w3QHvUAAAABQEAAA8AAAAAAAAAAQAgAAAAIgAAAGRycy9kb3du&#10;cmV2LnhtbFBLAQIUABQAAAAIAIdO4kCnvdklPAIAAFQEAAAOAAAAAAAAAAEAIAAAACMBAABkcnMv&#10;ZTJvRG9jLnhtbFBLBQYAAAAABgAGAFkBAADRBQAAAAA=&#10;">
                              <v:fill on="f" focussize="0,0"/>
                              <v:stroke on="f" weight="1pt"/>
                              <v:imagedata o:title=""/>
                              <o:lock v:ext="edit" aspectratio="f"/>
                              <v:textbox>
                                <w:txbxContent>
                                  <w:p>
                                    <w:pPr>
                                      <w:pStyle w:val="24"/>
                                      <w:spacing w:before="0" w:beforeAutospacing="0" w:after="0" w:afterAutospacing="0" w:line="240" w:lineRule="exact"/>
                                      <w:jc w:val="center"/>
                                    </w:pPr>
                                    <w:r>
                                      <w:rPr>
                                        <w:rFonts w:hint="eastAsia" w:ascii="Times New Roman"/>
                                        <w:kern w:val="2"/>
                                        <w:sz w:val="18"/>
                                        <w:szCs w:val="18"/>
                                      </w:rPr>
                                      <w:t>废培养基</w:t>
                                    </w:r>
                                  </w:p>
                                </w:txbxContent>
                              </v:textbox>
                            </v:shape>
                            <w10:wrap type="none"/>
                            <w10:anchorlock/>
                          </v:group>
                        </w:pict>
                      </mc:Fallback>
                    </mc:AlternateContent>
                  </w:r>
                </w:p>
              </w:tc>
            </w:tr>
          </w:tbl>
          <w:p>
            <w:pPr>
              <w:pStyle w:val="122"/>
              <w:rPr>
                <w:b w:val="0"/>
                <w:sz w:val="21"/>
                <w:szCs w:val="21"/>
              </w:rPr>
            </w:pPr>
            <w:r>
              <w:rPr>
                <w:b w:val="0"/>
                <w:sz w:val="21"/>
                <w:szCs w:val="21"/>
              </w:rPr>
              <w:t xml:space="preserve">图2-4 </w:t>
            </w:r>
            <w:r>
              <w:rPr>
                <w:rFonts w:hint="eastAsia"/>
                <w:b w:val="0"/>
                <w:sz w:val="21"/>
                <w:szCs w:val="21"/>
              </w:rPr>
              <w:t>项目</w:t>
            </w:r>
            <w:r>
              <w:rPr>
                <w:b w:val="0"/>
                <w:sz w:val="21"/>
                <w:szCs w:val="21"/>
              </w:rPr>
              <w:t>研发工艺流程及产污节点示意图</w:t>
            </w:r>
          </w:p>
          <w:p>
            <w:pPr>
              <w:pStyle w:val="122"/>
              <w:rPr>
                <w:b w:val="0"/>
                <w:sz w:val="21"/>
                <w:szCs w:val="21"/>
              </w:rPr>
            </w:pPr>
          </w:p>
          <w:p>
            <w:pPr>
              <w:pStyle w:val="122"/>
              <w:rPr>
                <w:b w:val="0"/>
                <w:bCs/>
                <w:sz w:val="21"/>
                <w:szCs w:val="21"/>
              </w:rPr>
            </w:pPr>
            <w:r>
              <w:rPr>
                <w:b w:val="0"/>
                <w:bCs/>
                <w:sz w:val="21"/>
                <w:szCs w:val="21"/>
              </w:rPr>
              <w:t>表2-7 项目研发步骤及产污环节一览表</w:t>
            </w:r>
          </w:p>
          <w:tbl>
            <w:tblPr>
              <w:tblStyle w:val="11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739"/>
              <w:gridCol w:w="1210"/>
              <w:gridCol w:w="3073"/>
              <w:gridCol w:w="1547"/>
              <w:gridCol w:w="7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tcBorders>
                    <w:bottom w:val="single" w:color="000000" w:sz="12" w:space="0"/>
                  </w:tcBorders>
                  <w:vAlign w:val="center"/>
                </w:tcPr>
                <w:p>
                  <w:pPr>
                    <w:pStyle w:val="113"/>
                    <w:spacing w:line="240" w:lineRule="exact"/>
                    <w:rPr>
                      <w:rFonts w:ascii="Times New Roman" w:hAnsi="Times New Roman" w:cs="Times New Roman" w:eastAsiaTheme="minorEastAsia"/>
                      <w:b/>
                      <w:bCs/>
                      <w:sz w:val="18"/>
                      <w:szCs w:val="18"/>
                      <w:lang w:eastAsia="en-US"/>
                    </w:rPr>
                  </w:pPr>
                  <w:r>
                    <w:rPr>
                      <w:rFonts w:ascii="Times New Roman" w:hAnsi="Times New Roman" w:cs="Times New Roman" w:eastAsiaTheme="minorEastAsia"/>
                      <w:b/>
                      <w:bCs/>
                      <w:sz w:val="18"/>
                      <w:szCs w:val="18"/>
                      <w:lang w:eastAsia="en-US"/>
                    </w:rPr>
                    <w:t>流程</w:t>
                  </w:r>
                </w:p>
              </w:tc>
              <w:tc>
                <w:tcPr>
                  <w:tcW w:w="958" w:type="pct"/>
                  <w:tcBorders>
                    <w:bottom w:val="single" w:color="000000" w:sz="12" w:space="0"/>
                  </w:tcBorders>
                  <w:vAlign w:val="center"/>
                </w:tcPr>
                <w:p>
                  <w:pPr>
                    <w:pStyle w:val="113"/>
                    <w:spacing w:line="240" w:lineRule="exact"/>
                    <w:rPr>
                      <w:rFonts w:ascii="Times New Roman" w:hAnsi="Times New Roman" w:cs="Times New Roman" w:eastAsiaTheme="minorEastAsia"/>
                      <w:b/>
                      <w:bCs/>
                      <w:sz w:val="18"/>
                      <w:szCs w:val="18"/>
                      <w:lang w:eastAsia="en-US"/>
                    </w:rPr>
                  </w:pPr>
                  <w:r>
                    <w:rPr>
                      <w:rFonts w:ascii="Times New Roman" w:hAnsi="Times New Roman" w:cs="Times New Roman" w:eastAsiaTheme="minorEastAsia"/>
                      <w:b/>
                      <w:bCs/>
                      <w:sz w:val="18"/>
                      <w:szCs w:val="18"/>
                      <w:lang w:eastAsia="en-US"/>
                    </w:rPr>
                    <w:t>所需试剂</w:t>
                  </w:r>
                </w:p>
              </w:tc>
              <w:tc>
                <w:tcPr>
                  <w:tcW w:w="667" w:type="pct"/>
                  <w:tcBorders>
                    <w:bottom w:val="single" w:color="000000" w:sz="12" w:space="0"/>
                  </w:tcBorders>
                  <w:vAlign w:val="center"/>
                </w:tcPr>
                <w:p>
                  <w:pPr>
                    <w:pStyle w:val="113"/>
                    <w:spacing w:line="240" w:lineRule="exact"/>
                    <w:rPr>
                      <w:rFonts w:ascii="Times New Roman" w:hAnsi="Times New Roman" w:cs="Times New Roman" w:eastAsiaTheme="minorEastAsia"/>
                      <w:b/>
                      <w:bCs/>
                      <w:sz w:val="18"/>
                      <w:szCs w:val="18"/>
                    </w:rPr>
                  </w:pPr>
                  <w:r>
                    <w:rPr>
                      <w:rFonts w:ascii="Times New Roman" w:hAnsi="Times New Roman" w:cs="Times New Roman" w:eastAsiaTheme="minorEastAsia"/>
                      <w:b/>
                      <w:bCs/>
                      <w:sz w:val="18"/>
                      <w:szCs w:val="18"/>
                    </w:rPr>
                    <w:t>具体操作步骤及实验条件</w:t>
                  </w:r>
                </w:p>
              </w:tc>
              <w:tc>
                <w:tcPr>
                  <w:tcW w:w="1694" w:type="pct"/>
                  <w:tcBorders>
                    <w:bottom w:val="single" w:color="000000" w:sz="12" w:space="0"/>
                  </w:tcBorders>
                  <w:vAlign w:val="center"/>
                </w:tcPr>
                <w:p>
                  <w:pPr>
                    <w:pStyle w:val="113"/>
                    <w:spacing w:line="240" w:lineRule="exact"/>
                    <w:rPr>
                      <w:rFonts w:ascii="Times New Roman" w:hAnsi="Times New Roman" w:cs="Times New Roman" w:eastAsiaTheme="minorEastAsia"/>
                      <w:b/>
                      <w:bCs/>
                      <w:sz w:val="18"/>
                      <w:szCs w:val="18"/>
                      <w:lang w:eastAsia="en-US"/>
                    </w:rPr>
                  </w:pPr>
                  <w:r>
                    <w:rPr>
                      <w:rFonts w:ascii="Times New Roman" w:hAnsi="Times New Roman" w:cs="Times New Roman" w:eastAsiaTheme="minorEastAsia"/>
                      <w:b/>
                      <w:bCs/>
                      <w:sz w:val="18"/>
                      <w:szCs w:val="18"/>
                      <w:lang w:eastAsia="en-US"/>
                    </w:rPr>
                    <w:t>所用试剂作用</w:t>
                  </w:r>
                </w:p>
              </w:tc>
              <w:tc>
                <w:tcPr>
                  <w:tcW w:w="852" w:type="pct"/>
                  <w:tcBorders>
                    <w:bottom w:val="single" w:color="000000" w:sz="12" w:space="0"/>
                  </w:tcBorders>
                  <w:vAlign w:val="center"/>
                </w:tcPr>
                <w:p>
                  <w:pPr>
                    <w:pStyle w:val="113"/>
                    <w:spacing w:line="240" w:lineRule="exact"/>
                    <w:rPr>
                      <w:rFonts w:ascii="Times New Roman" w:hAnsi="Times New Roman" w:cs="Times New Roman" w:eastAsiaTheme="minorEastAsia"/>
                      <w:b/>
                      <w:bCs/>
                      <w:sz w:val="18"/>
                      <w:szCs w:val="18"/>
                      <w:lang w:eastAsia="en-US"/>
                    </w:rPr>
                  </w:pPr>
                  <w:r>
                    <w:rPr>
                      <w:rFonts w:ascii="Times New Roman" w:hAnsi="Times New Roman" w:cs="Times New Roman" w:eastAsiaTheme="minorEastAsia"/>
                      <w:b/>
                      <w:bCs/>
                      <w:sz w:val="18"/>
                      <w:szCs w:val="18"/>
                      <w:lang w:eastAsia="en-US"/>
                    </w:rPr>
                    <w:t>使用仪器及</w:t>
                  </w:r>
                </w:p>
                <w:p>
                  <w:pPr>
                    <w:pStyle w:val="113"/>
                    <w:spacing w:line="240" w:lineRule="exact"/>
                    <w:rPr>
                      <w:rFonts w:ascii="Times New Roman" w:hAnsi="Times New Roman" w:cs="Times New Roman" w:eastAsiaTheme="minorEastAsia"/>
                      <w:b/>
                      <w:bCs/>
                      <w:sz w:val="18"/>
                      <w:szCs w:val="18"/>
                      <w:lang w:eastAsia="en-US"/>
                    </w:rPr>
                  </w:pPr>
                  <w:r>
                    <w:rPr>
                      <w:rFonts w:ascii="Times New Roman" w:hAnsi="Times New Roman" w:cs="Times New Roman" w:eastAsiaTheme="minorEastAsia"/>
                      <w:b/>
                      <w:bCs/>
                      <w:sz w:val="18"/>
                      <w:szCs w:val="18"/>
                      <w:lang w:eastAsia="en-US"/>
                    </w:rPr>
                    <w:t>相关参数</w:t>
                  </w:r>
                </w:p>
              </w:tc>
              <w:tc>
                <w:tcPr>
                  <w:tcW w:w="436" w:type="pct"/>
                  <w:tcBorders>
                    <w:bottom w:val="single" w:color="000000" w:sz="12" w:space="0"/>
                  </w:tcBorders>
                  <w:vAlign w:val="center"/>
                </w:tcPr>
                <w:p>
                  <w:pPr>
                    <w:pStyle w:val="113"/>
                    <w:spacing w:line="240" w:lineRule="exact"/>
                    <w:rPr>
                      <w:rFonts w:ascii="Times New Roman" w:hAnsi="Times New Roman" w:cs="Times New Roman" w:eastAsiaTheme="minorEastAsia"/>
                      <w:b/>
                      <w:bCs/>
                      <w:sz w:val="18"/>
                      <w:szCs w:val="18"/>
                      <w:lang w:eastAsia="en-US"/>
                    </w:rPr>
                  </w:pPr>
                  <w:r>
                    <w:rPr>
                      <w:rFonts w:ascii="Times New Roman" w:hAnsi="Times New Roman" w:cs="Times New Roman" w:eastAsiaTheme="minorEastAsia"/>
                      <w:b/>
                      <w:bCs/>
                      <w:sz w:val="18"/>
                      <w:szCs w:val="18"/>
                      <w:lang w:eastAsia="en-US"/>
                    </w:rPr>
                    <w:t>废弃物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restart"/>
                  <w:tcBorders>
                    <w:top w:val="single" w:color="000000" w:sz="12" w:space="0"/>
                  </w:tcBorders>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1.筛选需要添加的细胞生长因子及最佳浓度</w:t>
                  </w:r>
                </w:p>
              </w:tc>
              <w:tc>
                <w:tcPr>
                  <w:tcW w:w="958" w:type="pct"/>
                  <w:vMerge w:val="restart"/>
                  <w:tcBorders>
                    <w:top w:val="single" w:color="000000" w:sz="12" w:space="0"/>
                  </w:tcBorders>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percoll 分离液、胶原酶 II、胶原酶 I、各类基础培养（eg: DMEM、1640、MEM、F12、内皮细胞培养基、上皮细胞培养基等;主 要含氯化钙、氯化钠、氯化钾、碳酸氢钠、磷酸二氢钠、葡萄糖、丙酮酸钠、氨基酸、维生素</w:t>
                  </w:r>
                </w:p>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等）、胎牛血清、马血清、B-27 无血清添加剂、青霉素 G 钠盐、硫酸链霉素、胰酶、各种细胞因子、纯化水、95% 医用酒精</w:t>
                  </w:r>
                </w:p>
              </w:tc>
              <w:tc>
                <w:tcPr>
                  <w:tcW w:w="667" w:type="pct"/>
                  <w:tcBorders>
                    <w:top w:val="single" w:color="000000" w:sz="12" w:space="0"/>
                  </w:tcBorders>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1)细胞系复苏/ 原代细胞分离提取培养</w:t>
                  </w:r>
                </w:p>
              </w:tc>
              <w:tc>
                <w:tcPr>
                  <w:tcW w:w="1694" w:type="pct"/>
                  <w:tcBorders>
                    <w:top w:val="single" w:color="000000" w:sz="12" w:space="0"/>
                  </w:tcBorders>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细胞系：基础培养、胎牛血清（少量细胞用马血清）、青霉素 G 钠盐、硫酸链霉素配成完全培养基，给细胞提供缓冲环境和生长所需基本营养，使细胞能够体外增殖；</w:t>
                  </w:r>
                </w:p>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原代细胞：percoll 分离液、胶原酶 II、胶原酶 I、纯化水配成分离提取液，分离单个细胞；内皮细胞培养基、上皮细胞培养基、胎牛血清（神经细胞用 B-27 无血清添加剂）、青霉素 G 钠盐、硫酸链霉素配成完全培养基，给原代细胞提供缓冲环境和生长所需基本营养，使细胞能够体外增殖；</w:t>
                  </w:r>
                </w:p>
              </w:tc>
              <w:tc>
                <w:tcPr>
                  <w:tcW w:w="852" w:type="pct"/>
                  <w:tcBorders>
                    <w:top w:val="single" w:color="000000" w:sz="12" w:space="0"/>
                  </w:tcBorders>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CO</w:t>
                  </w:r>
                  <w:r>
                    <w:rPr>
                      <w:rFonts w:ascii="Times New Roman" w:hAnsi="Times New Roman" w:cs="Times New Roman" w:eastAsiaTheme="minorEastAsia"/>
                      <w:sz w:val="18"/>
                      <w:szCs w:val="18"/>
                      <w:vertAlign w:val="subscript"/>
                    </w:rPr>
                    <w:t>2</w:t>
                  </w:r>
                  <w:r>
                    <w:rPr>
                      <w:rFonts w:ascii="Times New Roman" w:hAnsi="Times New Roman" w:cs="Times New Roman" w:eastAsiaTheme="minorEastAsia"/>
                      <w:sz w:val="18"/>
                      <w:szCs w:val="18"/>
                    </w:rPr>
                    <w:t>培养箱：37℃，8小时、电热恒温水浴锅：37℃、常温低速离心机、液氮罐、倒置显微镜、相差倒置显微镜、数显恒温加热磁力搅拌器、瓶顶过滤器、316不锈钢单层过滤器、零下40度冷柜、星星陈列柜、移液器、PH（酸度）计</w:t>
                  </w:r>
                </w:p>
              </w:tc>
              <w:tc>
                <w:tcPr>
                  <w:tcW w:w="436" w:type="pct"/>
                  <w:tcBorders>
                    <w:top w:val="single" w:color="000000" w:sz="12" w:space="0"/>
                  </w:tcBorders>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2)细胞接入细胞板内培养</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基础培养、胎牛血清（少量细胞用马血清）、青霉素 G 钠盐、硫酸链霉素配成完全培养基，给细胞提供缓冲环境和生长所需基本营养，使细胞能够体外增殖； 胰酶使细胞从瓶壁脱落，可转移到其他培养器皿内</w:t>
                  </w:r>
                </w:p>
              </w:tc>
              <w:tc>
                <w:tcPr>
                  <w:tcW w:w="852"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CO</w:t>
                  </w:r>
                  <w:r>
                    <w:rPr>
                      <w:rFonts w:ascii="Times New Roman" w:hAnsi="Times New Roman" w:cs="Times New Roman" w:eastAsiaTheme="minorEastAsia"/>
                      <w:sz w:val="18"/>
                      <w:szCs w:val="18"/>
                      <w:vertAlign w:val="subscript"/>
                      <w:lang w:eastAsia="en-US"/>
                    </w:rPr>
                    <w:t>2</w:t>
                  </w:r>
                  <w:r>
                    <w:rPr>
                      <w:rFonts w:ascii="Times New Roman" w:hAnsi="Times New Roman" w:cs="Times New Roman" w:eastAsiaTheme="minorEastAsia"/>
                      <w:sz w:val="18"/>
                      <w:szCs w:val="18"/>
                      <w:lang w:eastAsia="en-US"/>
                    </w:rPr>
                    <w:t>培养箱： 37℃，8小时、移液器、常温低速离心机</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3)加入不同浓 度的细胞因子，继续培养细胞</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细胞因子作用于细胞，细胞生理代谢可能会发生改变</w:t>
                  </w:r>
                </w:p>
              </w:tc>
              <w:tc>
                <w:tcPr>
                  <w:tcW w:w="852"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CO</w:t>
                  </w:r>
                  <w:r>
                    <w:rPr>
                      <w:rFonts w:ascii="Times New Roman" w:hAnsi="Times New Roman" w:cs="Times New Roman" w:eastAsiaTheme="minorEastAsia"/>
                      <w:sz w:val="18"/>
                      <w:szCs w:val="18"/>
                      <w:vertAlign w:val="subscript"/>
                      <w:lang w:eastAsia="en-US"/>
                    </w:rPr>
                    <w:t>2</w:t>
                  </w:r>
                  <w:r>
                    <w:rPr>
                      <w:rFonts w:ascii="Times New Roman" w:hAnsi="Times New Roman" w:cs="Times New Roman" w:eastAsiaTheme="minorEastAsia"/>
                      <w:sz w:val="18"/>
                      <w:szCs w:val="18"/>
                      <w:lang w:eastAsia="en-US"/>
                    </w:rPr>
                    <w:t>培养箱：</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37℃，4~ 48 小时</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restar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2.检测细胞增殖情况</w:t>
                  </w:r>
                </w:p>
              </w:tc>
              <w:tc>
                <w:tcPr>
                  <w:tcW w:w="958" w:type="pct"/>
                  <w:vMerge w:val="restar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MTT(噻唑蓝)、磷酸氢二钠、磷酸二氢钠、氯化钠、纯化水、DMSO (二甲基亚砜)</w:t>
                  </w: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1)MTT 与孔内活细胞反应</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MTT 与磷酸氢二钠、磷酸二氢钠、氯化钠、纯化水配成 MTT 溶液，与活细胞中的线粒体中的琥珀酸脱氢酶反应生成蓝紫色结晶甲臜</w:t>
                  </w:r>
                </w:p>
              </w:tc>
              <w:tc>
                <w:tcPr>
                  <w:tcW w:w="852"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CO</w:t>
                  </w:r>
                  <w:r>
                    <w:rPr>
                      <w:rFonts w:ascii="Times New Roman" w:hAnsi="Times New Roman" w:cs="Times New Roman" w:eastAsiaTheme="minorEastAsia"/>
                      <w:sz w:val="18"/>
                      <w:szCs w:val="18"/>
                      <w:vertAlign w:val="subscript"/>
                      <w:lang w:eastAsia="en-US"/>
                    </w:rPr>
                    <w:t>2</w:t>
                  </w:r>
                  <w:r>
                    <w:rPr>
                      <w:rFonts w:ascii="Times New Roman" w:hAnsi="Times New Roman" w:cs="Times New Roman" w:eastAsiaTheme="minorEastAsia"/>
                      <w:sz w:val="18"/>
                      <w:szCs w:val="18"/>
                      <w:lang w:eastAsia="en-US"/>
                    </w:rPr>
                    <w:t>培养箱：37℃，4小时、移液器</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2)显色，比较各孔活细胞的数量</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DMSO 溶解甲臜，可根据颜色深浅判断细胞增殖情况</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酶标仪：570nm、移液器、脱色摇床</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残液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restar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3.ELIS A 检测细胞内蛋白分泌情况</w:t>
                  </w:r>
                </w:p>
              </w:tc>
              <w:tc>
                <w:tcPr>
                  <w:tcW w:w="958" w:type="pct"/>
                  <w:vMerge w:val="restar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磷酸氢二钠、磷酸二氢钠、氯化钠、纯化水、吐温-20、BSA（牛血清白蛋白）、柠檬酸、TMB</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（3,3",5,5"-四甲基</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联苯胺）</w:t>
                  </w: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1)包被抗体</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磷酸氢二钠、磷酸二氢钠、氯化钠、纯化水配成包被液，使抗体包被到酶标板上</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电热恒温培养箱：37℃，1 小时、数显恒温加热磁力 搅拌器、移液器、PH 计</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废缓冲液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2)蛋白与包被抗体和检测抗体反应</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磷酸氢二钠、磷酸二氢钠、氯化钠、纯化水、吐温-20 和BSA 配成洗涤液，洗去未结合的抗体</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数显恒温加热磁力搅拌器、移液器、电热恒温培养箱：37℃，1 小时</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残液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3)显色，计算分泌蛋白含量</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磷酸二氢钠、柠檬酸、TMB 配成显色底物液，TMB 在氧化物的作用下形成可溶性蓝色产物，可根据颜色深浅计算蛋白浓度</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数显恒温加热磁力搅拌器、移液器、酶标仪：450nm</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残液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restar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4.表达载体构建</w:t>
                  </w:r>
                </w:p>
              </w:tc>
              <w:tc>
                <w:tcPr>
                  <w:tcW w:w="958" w:type="pct"/>
                  <w:vMerge w:val="restar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酵母提取物、胰蛋白胨、纯化水、Taq 酶、dNTP、限制性内切酶、Tris 碱、EDTA（乙二胺四乙酸钠盐）、T4 连接酶、琼脂糖、葡萄糖、氢氧化钠、SDS</w:t>
                  </w:r>
                </w:p>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（十二烷基硫酸 钠））、醋酸钾、乙醇</w:t>
                  </w: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1)基因 PCR 扩增</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Taq 酶、dNTP、纯化水配成DNA扩增液，得到基因DNA片段；Tris 碱、EDTA 和纯化水配成电泳缓冲液，与琼脂糖形成琼脂糖凝胶，DNA 片段电泳后判断大小是否正确</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PCR 仪、水平电泳仪电源、琼脂糖水平电泳槽、台式高速冷冻离心机、移液器</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废缓冲液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pPr>
                    <w:autoSpaceDE w:val="0"/>
                    <w:autoSpaceDN w:val="0"/>
                    <w:spacing w:line="240" w:lineRule="exact"/>
                    <w:jc w:val="center"/>
                    <w:rPr>
                      <w:rFonts w:eastAsiaTheme="minorEastAsia"/>
                      <w:sz w:val="18"/>
                      <w:szCs w:val="18"/>
                      <w:lang w:eastAsia="en-US"/>
                    </w:rPr>
                  </w:pPr>
                </w:p>
              </w:tc>
              <w:tc>
                <w:tcPr>
                  <w:tcW w:w="958" w:type="pct"/>
                  <w:vMerge w:val="continue"/>
                  <w:vAlign w:val="center"/>
                </w:tcPr>
                <w:p>
                  <w:pPr>
                    <w:autoSpaceDE w:val="0"/>
                    <w:autoSpaceDN w:val="0"/>
                    <w:spacing w:line="240" w:lineRule="exact"/>
                    <w:jc w:val="center"/>
                    <w:rPr>
                      <w:rFonts w:eastAsiaTheme="minorEastAsia"/>
                      <w:kern w:val="0"/>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2)酶切载体和DNA后连接，</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转化大肠杆菌</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限制性内切酶与载体和 DNA 片段作用使二者形成相对应的切口；T4 连接酶是载体和 DNA 片段链接成环状</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电热恒温水浴锅：37℃和 16℃、移液器、</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残液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continue"/>
                  <w:vAlign w:val="center"/>
                </w:tcPr>
                <w:p>
                  <w:pPr>
                    <w:autoSpaceDE w:val="0"/>
                    <w:autoSpaceDN w:val="0"/>
                    <w:spacing w:line="240" w:lineRule="exact"/>
                    <w:jc w:val="center"/>
                    <w:rPr>
                      <w:rFonts w:eastAsiaTheme="minorEastAsia"/>
                      <w:sz w:val="18"/>
                      <w:szCs w:val="18"/>
                      <w:lang w:eastAsia="en-US"/>
                    </w:rPr>
                  </w:pPr>
                </w:p>
              </w:tc>
              <w:tc>
                <w:tcPr>
                  <w:tcW w:w="958" w:type="pct"/>
                  <w:vMerge w:val="continue"/>
                  <w:vAlign w:val="center"/>
                </w:tcPr>
                <w:p>
                  <w:pPr>
                    <w:autoSpaceDE w:val="0"/>
                    <w:autoSpaceDN w:val="0"/>
                    <w:spacing w:line="240" w:lineRule="exact"/>
                    <w:jc w:val="center"/>
                    <w:rPr>
                      <w:rFonts w:eastAsiaTheme="minorEastAsia"/>
                      <w:kern w:val="0"/>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3)大肠杆菌培养，提取表达载体</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酵母提取物、胰蛋白胨、纯化水配成培养基，培养大肠杆菌；Tris 碱、EDTA、葡萄糖、氢氧化钠、SDS、醋酸钾、乙醇配成裂解液，裂解大肠杆菌，提取质粒</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台式恒温摇床： 37℃、台式高速冷冻离心机、不锈钢立式压力蒸汽灭菌锅</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培养废液、残液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restar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5.构建酵母表达工程菌</w:t>
                  </w:r>
                </w:p>
              </w:tc>
              <w:tc>
                <w:tcPr>
                  <w:tcW w:w="958" w:type="pct"/>
                  <w:vMerge w:val="restar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酵母提取物、蛋白胨、葡萄糖、琼脂糖、纯化水、山梨醇、YNB（无氨基酸酵母氮源）、氨基酸、生物素、限制性内切酶、Taq</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酶、dNTP、Tris 碱、</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EDTA</w:t>
                  </w: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1)酵母感受态制备</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酵母提取物、蛋白胨、葡萄糖、纯化水配成培养基，提供酵母生长所需营养成分；山梨醇可通透酵母细胞壁，使载体容易进入酵母内</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5 英寸过滤器、电热恒温培养箱： 30</w:t>
                  </w:r>
                  <w:r>
                    <w:rPr>
                      <w:rFonts w:ascii="Times New Roman" w:hAnsi="Times New Roman" w:eastAsia="宋体" w:cs="Times New Roman"/>
                      <w:sz w:val="18"/>
                      <w:szCs w:val="18"/>
                    </w:rPr>
                    <w:t>℃</w:t>
                  </w:r>
                  <w:r>
                    <w:rPr>
                      <w:rFonts w:ascii="Times New Roman" w:hAnsi="Times New Roman" w:cs="Times New Roman" w:eastAsiaTheme="minorEastAsia"/>
                      <w:sz w:val="18"/>
                      <w:szCs w:val="18"/>
                    </w:rPr>
                    <w:t>、恒温摇床：30</w:t>
                  </w:r>
                  <w:r>
                    <w:rPr>
                      <w:rFonts w:ascii="Times New Roman" w:hAnsi="Times New Roman" w:eastAsia="宋体" w:cs="Times New Roman"/>
                      <w:sz w:val="18"/>
                      <w:szCs w:val="18"/>
                    </w:rPr>
                    <w:t>℃</w:t>
                  </w:r>
                  <w:r>
                    <w:rPr>
                      <w:rFonts w:ascii="Times New Roman" w:hAnsi="Times New Roman" w:cs="Times New Roman" w:eastAsiaTheme="minorEastAsia"/>
                      <w:sz w:val="18"/>
                      <w:szCs w:val="18"/>
                    </w:rPr>
                    <w:t>、离心机、台式高速冷冻离心机、不锈钢立式压力蒸汽灭菌锅</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2)表达载体转化酵母</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限制性内切酶使载体线性化，更易转入酵母；山梨醇、YNB、琼脂糖、葡萄糖、氨基酸、生物素、纯化水配成转化培养基，筛选转化克隆</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5 英寸过滤器、电热恒温培养箱：30</w:t>
                  </w:r>
                  <w:r>
                    <w:rPr>
                      <w:rFonts w:ascii="Times New Roman" w:hAnsi="Times New Roman" w:eastAsia="宋体" w:cs="Times New Roman"/>
                      <w:sz w:val="18"/>
                      <w:szCs w:val="18"/>
                    </w:rPr>
                    <w:t>℃</w:t>
                  </w:r>
                  <w:r>
                    <w:rPr>
                      <w:rFonts w:ascii="Times New Roman" w:hAnsi="Times New Roman" w:cs="Times New Roman" w:eastAsiaTheme="minorEastAsia"/>
                      <w:sz w:val="18"/>
                      <w:szCs w:val="18"/>
                    </w:rPr>
                    <w:t>、恒温水浴锅：37</w:t>
                  </w:r>
                  <w:r>
                    <w:rPr>
                      <w:rFonts w:ascii="Times New Roman" w:hAnsi="Times New Roman" w:eastAsia="宋体" w:cs="Times New Roman"/>
                      <w:sz w:val="18"/>
                      <w:szCs w:val="18"/>
                    </w:rPr>
                    <w:t>℃</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3)筛选阳性克隆菌</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Taq 酶、dNTP、纯化水配成 DNA 扩增液， 扩增 DNA 目的片段；Tris 碱、EDTA 和纯化水配成电泳缓冲液，与琼脂糖形成琼脂糖凝胶，用于扩增片段电泳</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PCR 仪、水平电泳仪电源、琼脂糖水平电泳槽</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废缓冲液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restar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6.诱导酵母表达目的蛋白，筛选高表达菌株</w:t>
                  </w:r>
                </w:p>
              </w:tc>
              <w:tc>
                <w:tcPr>
                  <w:tcW w:w="958" w:type="pct"/>
                  <w:vMerge w:val="restart"/>
                  <w:vAlign w:val="center"/>
                </w:tcPr>
                <w:p>
                  <w:pPr>
                    <w:pStyle w:val="113"/>
                    <w:spacing w:before="125"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酵母提取物、蛋白胨、葡萄糖、生物素、磷酸二氢钾、磷酸氢二钾、纯化水、甲醇</w:t>
                  </w: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1)诱导酵母表达</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酵母提取物、蛋白胨、葡萄糖、生物素、磷酸二氢钾、磷酸氢二钾、纯化水、甲醇配成诱导培养基，诱导酵母表达外源蛋白</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恒温摇床：37</w:t>
                  </w:r>
                  <w:r>
                    <w:rPr>
                      <w:rFonts w:ascii="Times New Roman" w:hAnsi="Times New Roman" w:eastAsia="宋体" w:cs="Times New Roman"/>
                      <w:sz w:val="18"/>
                      <w:szCs w:val="18"/>
                    </w:rPr>
                    <w:t>℃</w:t>
                  </w:r>
                  <w:r>
                    <w:rPr>
                      <w:rFonts w:ascii="Times New Roman" w:hAnsi="Times New Roman" w:cs="Times New Roman" w:eastAsiaTheme="minorEastAsia"/>
                      <w:sz w:val="18"/>
                      <w:szCs w:val="18"/>
                    </w:rPr>
                    <w:t>、离心机、紫外可见分光光度计、纯水过滤器、不锈钢立式压力蒸汽灭菌锅</w:t>
                  </w:r>
                </w:p>
              </w:tc>
              <w:tc>
                <w:tcPr>
                  <w:tcW w:w="436" w:type="pct"/>
                  <w:vAlign w:val="center"/>
                </w:tcPr>
                <w:p>
                  <w:pPr>
                    <w:pStyle w:val="113"/>
                    <w:spacing w:line="240" w:lineRule="exact"/>
                    <w:jc w:val="both"/>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958" w:type="pct"/>
                  <w:vMerge w:val="continue"/>
                  <w:vAlign w:val="center"/>
                </w:tcPr>
                <w:p>
                  <w:pPr>
                    <w:pStyle w:val="113"/>
                    <w:spacing w:line="240" w:lineRule="exact"/>
                    <w:rPr>
                      <w:rFonts w:ascii="Times New Roman" w:hAnsi="Times New Roman" w:cs="Times New Roman" w:eastAsiaTheme="minorEastAsia"/>
                      <w:sz w:val="18"/>
                      <w:szCs w:val="18"/>
                      <w:lang w:eastAsia="en-US"/>
                    </w:rPr>
                  </w:pPr>
                </w:p>
              </w:tc>
              <w:tc>
                <w:tcPr>
                  <w:tcW w:w="667"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2)表达蛋白检测</w:t>
                  </w:r>
                </w:p>
              </w:tc>
              <w:tc>
                <w:tcPr>
                  <w:tcW w:w="1694"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w:t>
                  </w:r>
                </w:p>
              </w:tc>
              <w:tc>
                <w:tcPr>
                  <w:tcW w:w="852"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台式高速冷冻离心机、迷你双垂直电泳槽、水平电泳仪电源、脱色摇床</w:t>
                  </w:r>
                </w:p>
              </w:tc>
              <w:tc>
                <w:tcPr>
                  <w:tcW w:w="436"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废缓冲液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391"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7.获得细胞因子蛋白</w:t>
                  </w:r>
                </w:p>
              </w:tc>
              <w:tc>
                <w:tcPr>
                  <w:tcW w:w="958" w:type="pct"/>
                  <w:vAlign w:val="center"/>
                </w:tcPr>
                <w:p>
                  <w:pPr>
                    <w:pStyle w:val="113"/>
                    <w:spacing w:before="115"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氯化钠、氯化钾、磷酸氢二钠、纯化水</w:t>
                  </w:r>
                </w:p>
              </w:tc>
              <w:tc>
                <w:tcPr>
                  <w:tcW w:w="667" w:type="pct"/>
                  <w:vAlign w:val="center"/>
                </w:tcPr>
                <w:p>
                  <w:pPr>
                    <w:pStyle w:val="113"/>
                    <w:spacing w:before="117"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蛋白提取和纯化</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氯化钠、氯化钾、磷酸氢二钠、纯化水配成透析液，调整上清 PH 值；硫酸铵、纯化水配成浓缩液，浓缩蛋白；氯化钠、氯化钾、磷酸氢二钠、纯化水配成吸附液，黏附蛋白；咪唑、纯化水配成洗脱液，洗脱并得到纯化的蛋白</w:t>
                  </w:r>
                </w:p>
              </w:tc>
              <w:tc>
                <w:tcPr>
                  <w:tcW w:w="852" w:type="pct"/>
                  <w:vAlign w:val="center"/>
                </w:tcPr>
                <w:p>
                  <w:pPr>
                    <w:pStyle w:val="113"/>
                    <w:spacing w:before="111"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10L 大功率磁力搅拌器、高速冷冻离心机、不锈钢立式压力蒸汽灭菌锅、恒温摇床、冰箱、PH 计</w:t>
                  </w:r>
                </w:p>
              </w:tc>
              <w:tc>
                <w:tcPr>
                  <w:tcW w:w="436" w:type="pct"/>
                  <w:vAlign w:val="center"/>
                </w:tcPr>
                <w:p>
                  <w:pPr>
                    <w:pStyle w:val="113"/>
                    <w:spacing w:before="111" w:line="536870672" w:lineRule="auto"/>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培养废液、废缓 冲液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Align w:val="center"/>
                </w:tcPr>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8.产品验证</w:t>
                  </w:r>
                </w:p>
              </w:tc>
              <w:tc>
                <w:tcPr>
                  <w:tcW w:w="958"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基础培养（主要含氯化钙、氯化钠、氯化钾、碳酸氢钠、磷酸二氢钠、葡萄糖、丙酮酸钠、氨基酸、维生素、纯化水）、胰酶、MTT(噻唑蓝)、DMSO</w:t>
                  </w:r>
                </w:p>
                <w:p>
                  <w:pPr>
                    <w:pStyle w:val="113"/>
                    <w:spacing w:line="240" w:lineRule="exact"/>
                    <w:rPr>
                      <w:rFonts w:ascii="Times New Roman" w:hAnsi="Times New Roman" w:cs="Times New Roman" w:eastAsiaTheme="minorEastAsia"/>
                      <w:sz w:val="18"/>
                      <w:szCs w:val="18"/>
                      <w:lang w:eastAsia="en-US"/>
                    </w:rPr>
                  </w:pPr>
                  <w:r>
                    <w:rPr>
                      <w:rFonts w:ascii="Times New Roman" w:hAnsi="Times New Roman" w:cs="Times New Roman" w:eastAsiaTheme="minorEastAsia"/>
                      <w:sz w:val="18"/>
                      <w:szCs w:val="18"/>
                      <w:lang w:eastAsia="en-US"/>
                    </w:rPr>
                    <w:t>(二甲基亚砜)</w:t>
                  </w:r>
                </w:p>
              </w:tc>
              <w:tc>
                <w:tcPr>
                  <w:tcW w:w="667"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细胞培养，测试细胞增殖凋亡情况</w:t>
                  </w:r>
                </w:p>
              </w:tc>
              <w:tc>
                <w:tcPr>
                  <w:tcW w:w="1694" w:type="pct"/>
                  <w:vAlign w:val="center"/>
                </w:tcPr>
                <w:p>
                  <w:pPr>
                    <w:pStyle w:val="113"/>
                    <w:spacing w:line="240" w:lineRule="exact"/>
                    <w:jc w:val="both"/>
                    <w:rPr>
                      <w:rFonts w:ascii="Times New Roman" w:hAnsi="Times New Roman" w:cs="Times New Roman" w:eastAsiaTheme="minorEastAsia"/>
                      <w:sz w:val="18"/>
                      <w:szCs w:val="18"/>
                    </w:rPr>
                  </w:pPr>
                  <w:r>
                    <w:rPr>
                      <w:rFonts w:ascii="Times New Roman" w:hAnsi="Times New Roman" w:cs="Times New Roman" w:eastAsiaTheme="minorEastAsia"/>
                      <w:sz w:val="18"/>
                      <w:szCs w:val="18"/>
                    </w:rPr>
                    <w:t>基础培养、表达蛋白配成无血清培养基， 提供细胞生长所需营养；MTT 与磷酸氢二钠、磷酸二氢钠、氯化钠、纯化水配成 MTT 溶液，DMSO 显色后检测细胞增殖</w:t>
                  </w:r>
                </w:p>
              </w:tc>
              <w:tc>
                <w:tcPr>
                  <w:tcW w:w="852" w:type="pct"/>
                  <w:vAlign w:val="center"/>
                </w:tcPr>
                <w:p>
                  <w:pPr>
                    <w:pStyle w:val="113"/>
                    <w:spacing w:before="103"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CO</w:t>
                  </w:r>
                  <w:r>
                    <w:rPr>
                      <w:rFonts w:ascii="Times New Roman" w:hAnsi="Times New Roman" w:cs="Times New Roman" w:eastAsiaTheme="minorEastAsia"/>
                      <w:sz w:val="18"/>
                      <w:szCs w:val="18"/>
                      <w:vertAlign w:val="subscript"/>
                    </w:rPr>
                    <w:t>2</w:t>
                  </w:r>
                  <w:r>
                    <w:rPr>
                      <w:rFonts w:ascii="Times New Roman" w:hAnsi="Times New Roman" w:cs="Times New Roman" w:eastAsiaTheme="minorEastAsia"/>
                      <w:sz w:val="18"/>
                      <w:szCs w:val="18"/>
                    </w:rPr>
                    <w:t xml:space="preserve"> 培养箱：</w:t>
                  </w:r>
                </w:p>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37℃、酶标仪：</w:t>
                  </w:r>
                </w:p>
                <w:p>
                  <w:pPr>
                    <w:pStyle w:val="113"/>
                    <w:spacing w:before="2"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570nm、移液器、常温低速离心机、相差倒置显微镜、316 不锈钢单层过滤器、10L 大功率磁力搅拌器、纯水过滤器</w:t>
                  </w:r>
                </w:p>
              </w:tc>
              <w:tc>
                <w:tcPr>
                  <w:tcW w:w="436" w:type="pct"/>
                  <w:vAlign w:val="center"/>
                </w:tcPr>
                <w:p>
                  <w:pPr>
                    <w:pStyle w:val="113"/>
                    <w:spacing w:line="240" w:lineRule="exact"/>
                    <w:rPr>
                      <w:rFonts w:ascii="Times New Roman" w:hAnsi="Times New Roman" w:cs="Times New Roman" w:eastAsiaTheme="minorEastAsia"/>
                      <w:sz w:val="18"/>
                      <w:szCs w:val="18"/>
                    </w:rPr>
                  </w:pPr>
                  <w:r>
                    <w:rPr>
                      <w:rFonts w:ascii="Times New Roman" w:hAnsi="Times New Roman" w:cs="Times New Roman" w:eastAsiaTheme="minorEastAsia"/>
                      <w:sz w:val="18"/>
                      <w:szCs w:val="18"/>
                    </w:rPr>
                    <w:t>培养废液</w:t>
                  </w:r>
                </w:p>
              </w:tc>
            </w:tr>
          </w:tbl>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9</w:t>
            </w:r>
            <w:r>
              <w:rPr>
                <w:rFonts w:eastAsia="黑体"/>
                <w:color w:val="000000" w:themeColor="text1"/>
                <w:sz w:val="24"/>
                <w14:textFill>
                  <w14:solidFill>
                    <w14:schemeClr w14:val="tx1"/>
                  </w14:solidFill>
                </w14:textFill>
              </w:rPr>
              <w:t>项目产污环节</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9</w:t>
            </w:r>
            <w:r>
              <w:rPr>
                <w:rFonts w:eastAsia="黑体"/>
                <w:color w:val="000000" w:themeColor="text1"/>
                <w:sz w:val="24"/>
                <w14:textFill>
                  <w14:solidFill>
                    <w14:schemeClr w14:val="tx1"/>
                  </w14:solidFill>
                </w14:textFill>
              </w:rPr>
              <w:t>.1施工期</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位于已建成的武汉市东湖新技术开发区高新大道858号生物医药园C4楼二层、五层，目前C4楼整栋建筑土建工程已经完工，</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办公设施、研发设备及危废暂存间建成后即投入使用，工程量较小。</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9</w:t>
            </w:r>
            <w:r>
              <w:rPr>
                <w:rFonts w:eastAsia="黑体"/>
                <w:color w:val="000000" w:themeColor="text1"/>
                <w:sz w:val="24"/>
                <w14:textFill>
                  <w14:solidFill>
                    <w14:schemeClr w14:val="tx1"/>
                  </w14:solidFill>
                </w14:textFill>
              </w:rPr>
              <w:t>.2运营期</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运期产生的主要污染物如下：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（1）废气</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主要废气污染源为研发实验室废气，主要为甲醇、乙醇等溶剂挥发气体。</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（2）废水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废水主要为生活污水和研发废水（主要为地面清洗废水、器皿(经高压灭菌后)清洗废水、工衣清洗废水和纯水制备过程中产生的浓水、配液废水）。</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（3）噪声</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噪声主要来自各类实验设备噪声和空调机组。</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（4）固废</w:t>
            </w:r>
          </w:p>
          <w:p>
            <w:pPr>
              <w:spacing w:line="360" w:lineRule="auto"/>
              <w:ind w:firstLine="480" w:firstLineChars="200"/>
              <w:rPr>
                <w:color w:val="000000" w:themeColor="text1"/>
                <w:sz w:val="24"/>
                <w14:textFill>
                  <w14:solidFill>
                    <w14:schemeClr w14:val="tx1"/>
                  </w14:solidFill>
                </w14:textFill>
              </w:rPr>
            </w:pPr>
            <w:r>
              <w:rPr>
                <w:rFonts w:hint="eastAsia"/>
                <w:sz w:val="24"/>
              </w:rPr>
              <w:t>项目</w:t>
            </w:r>
            <w:r>
              <w:rPr>
                <w:sz w:val="24"/>
              </w:rPr>
              <w:t>产生的固体废物主要为生活垃圾、一般工业固体废物和危险废物。一般工业固体废物主要包括生产组装过程中产生的废复合包装材料、纯水制备设备里面的滤芯等，危险废物主要为实验废液（含废培养液、废缓冲液及残液等）、废实验器具和废弃的试剂包装容器及废活性炭等。</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2.</w:t>
            </w:r>
            <w:r>
              <w:rPr>
                <w:rFonts w:hint="eastAsia" w:eastAsia="黑体"/>
                <w:color w:val="000000" w:themeColor="text1"/>
                <w:sz w:val="24"/>
                <w14:textFill>
                  <w14:solidFill>
                    <w14:schemeClr w14:val="tx1"/>
                  </w14:solidFill>
                </w14:textFill>
              </w:rPr>
              <w:t>10</w:t>
            </w:r>
            <w:r>
              <w:rPr>
                <w:rFonts w:eastAsia="黑体"/>
                <w:color w:val="000000" w:themeColor="text1"/>
                <w:sz w:val="24"/>
                <w14:textFill>
                  <w14:solidFill>
                    <w14:schemeClr w14:val="tx1"/>
                  </w14:solidFill>
                </w14:textFill>
              </w:rPr>
              <w:t>项目变更情况</w:t>
            </w:r>
          </w:p>
          <w:p>
            <w:pPr>
              <w:spacing w:line="360" w:lineRule="auto"/>
              <w:ind w:firstLine="480" w:firstLineChars="200"/>
              <w:rPr>
                <w:kern w:val="0"/>
                <w:sz w:val="24"/>
                <w:szCs w:val="20"/>
              </w:rPr>
            </w:pPr>
            <w:r>
              <w:rPr>
                <w:rFonts w:hint="eastAsia"/>
                <w:kern w:val="0"/>
                <w:sz w:val="24"/>
                <w:szCs w:val="20"/>
              </w:rPr>
              <w:t>项目在实际建设过程中发生了少量变更，具体变更情况见表2-8。</w:t>
            </w:r>
          </w:p>
          <w:p>
            <w:pPr>
              <w:pStyle w:val="124"/>
              <w:rPr>
                <w:rFonts w:eastAsia="黑体"/>
                <w:bCs/>
                <w:color w:val="auto"/>
                <w:sz w:val="21"/>
              </w:rPr>
            </w:pPr>
            <w:r>
              <w:rPr>
                <w:rFonts w:hint="eastAsia" w:eastAsia="黑体"/>
                <w:b w:val="0"/>
                <w:color w:val="auto"/>
                <w:sz w:val="21"/>
              </w:rPr>
              <w:t>表2-8 项目变更情况</w:t>
            </w:r>
            <w:r>
              <w:rPr>
                <w:rFonts w:eastAsia="黑体"/>
                <w:b w:val="0"/>
                <w:color w:val="auto"/>
                <w:sz w:val="21"/>
              </w:rPr>
              <w:t>一览表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55"/>
              <w:gridCol w:w="590"/>
              <w:gridCol w:w="2589"/>
              <w:gridCol w:w="2799"/>
              <w:gridCol w:w="2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34" w:type="pct"/>
                  <w:gridSpan w:val="2"/>
                  <w:tcBorders>
                    <w:bottom w:val="single" w:color="auto" w:sz="12" w:space="0"/>
                  </w:tcBorders>
                  <w:vAlign w:val="center"/>
                </w:tcPr>
                <w:p>
                  <w:pPr>
                    <w:spacing w:line="240" w:lineRule="exact"/>
                    <w:jc w:val="center"/>
                    <w:rPr>
                      <w:b/>
                      <w:bCs/>
                      <w:sz w:val="18"/>
                      <w:szCs w:val="18"/>
                    </w:rPr>
                  </w:pPr>
                  <w:r>
                    <w:rPr>
                      <w:rFonts w:hint="eastAsia"/>
                      <w:b/>
                      <w:bCs/>
                      <w:sz w:val="18"/>
                      <w:szCs w:val="18"/>
                    </w:rPr>
                    <w:t>项目组成</w:t>
                  </w:r>
                </w:p>
              </w:tc>
              <w:tc>
                <w:tcPr>
                  <w:tcW w:w="325" w:type="pct"/>
                  <w:tcBorders>
                    <w:bottom w:val="single" w:color="auto" w:sz="12" w:space="0"/>
                  </w:tcBorders>
                  <w:vAlign w:val="center"/>
                </w:tcPr>
                <w:p>
                  <w:pPr>
                    <w:spacing w:line="240" w:lineRule="exact"/>
                    <w:jc w:val="center"/>
                    <w:rPr>
                      <w:b/>
                      <w:bCs/>
                      <w:sz w:val="18"/>
                      <w:szCs w:val="18"/>
                    </w:rPr>
                  </w:pPr>
                  <w:r>
                    <w:rPr>
                      <w:rFonts w:hint="eastAsia"/>
                      <w:b/>
                      <w:bCs/>
                      <w:sz w:val="18"/>
                      <w:szCs w:val="18"/>
                    </w:rPr>
                    <w:t>类别</w:t>
                  </w:r>
                </w:p>
              </w:tc>
              <w:tc>
                <w:tcPr>
                  <w:tcW w:w="1426" w:type="pct"/>
                  <w:tcBorders>
                    <w:bottom w:val="single" w:color="auto" w:sz="12" w:space="0"/>
                  </w:tcBorders>
                  <w:vAlign w:val="center"/>
                </w:tcPr>
                <w:p>
                  <w:pPr>
                    <w:spacing w:line="240" w:lineRule="exact"/>
                    <w:jc w:val="center"/>
                    <w:rPr>
                      <w:b/>
                      <w:bCs/>
                      <w:sz w:val="18"/>
                      <w:szCs w:val="18"/>
                    </w:rPr>
                  </w:pPr>
                  <w:r>
                    <w:rPr>
                      <w:rFonts w:hint="eastAsia"/>
                      <w:b/>
                      <w:bCs/>
                      <w:sz w:val="18"/>
                      <w:szCs w:val="18"/>
                    </w:rPr>
                    <w:t>环评情况</w:t>
                  </w:r>
                </w:p>
              </w:tc>
              <w:tc>
                <w:tcPr>
                  <w:tcW w:w="1542" w:type="pct"/>
                  <w:tcBorders>
                    <w:bottom w:val="single" w:color="auto" w:sz="12" w:space="0"/>
                  </w:tcBorders>
                  <w:vAlign w:val="center"/>
                </w:tcPr>
                <w:p>
                  <w:pPr>
                    <w:spacing w:line="240" w:lineRule="exact"/>
                    <w:jc w:val="center"/>
                    <w:rPr>
                      <w:b/>
                      <w:bCs/>
                      <w:sz w:val="18"/>
                      <w:szCs w:val="18"/>
                    </w:rPr>
                  </w:pPr>
                  <w:r>
                    <w:rPr>
                      <w:rFonts w:hint="eastAsia"/>
                      <w:b/>
                      <w:bCs/>
                      <w:sz w:val="18"/>
                      <w:szCs w:val="18"/>
                    </w:rPr>
                    <w:t>实际建设情况</w:t>
                  </w:r>
                </w:p>
              </w:tc>
              <w:tc>
                <w:tcPr>
                  <w:tcW w:w="1170" w:type="pct"/>
                  <w:tcBorders>
                    <w:bottom w:val="single" w:color="auto" w:sz="12" w:space="0"/>
                  </w:tcBorders>
                  <w:vAlign w:val="center"/>
                </w:tcPr>
                <w:p>
                  <w:pPr>
                    <w:spacing w:line="240" w:lineRule="exact"/>
                    <w:jc w:val="center"/>
                    <w:rPr>
                      <w:b/>
                      <w:bCs/>
                      <w:sz w:val="18"/>
                      <w:szCs w:val="18"/>
                    </w:rPr>
                  </w:pPr>
                  <w:r>
                    <w:rPr>
                      <w:rFonts w:hint="eastAsia"/>
                      <w:b/>
                      <w:bCs/>
                      <w:sz w:val="18"/>
                      <w:szCs w:val="18"/>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8" w:type="pct"/>
                  <w:tcBorders>
                    <w:top w:val="single" w:color="auto" w:sz="12" w:space="0"/>
                  </w:tcBorders>
                  <w:vAlign w:val="center"/>
                </w:tcPr>
                <w:p>
                  <w:pPr>
                    <w:spacing w:line="240" w:lineRule="exact"/>
                    <w:jc w:val="center"/>
                    <w:rPr>
                      <w:sz w:val="18"/>
                      <w:szCs w:val="18"/>
                    </w:rPr>
                  </w:pPr>
                  <w:r>
                    <w:rPr>
                      <w:rFonts w:hint="eastAsia"/>
                      <w:sz w:val="18"/>
                      <w:szCs w:val="18"/>
                    </w:rPr>
                    <w:t>环保工程</w:t>
                  </w:r>
                </w:p>
              </w:tc>
              <w:tc>
                <w:tcPr>
                  <w:tcW w:w="305" w:type="pct"/>
                  <w:tcBorders>
                    <w:top w:val="single" w:color="auto" w:sz="12" w:space="0"/>
                  </w:tcBorders>
                  <w:vAlign w:val="center"/>
                </w:tcPr>
                <w:p>
                  <w:pPr>
                    <w:spacing w:line="240" w:lineRule="exact"/>
                    <w:jc w:val="center"/>
                    <w:rPr>
                      <w:sz w:val="18"/>
                      <w:szCs w:val="18"/>
                    </w:rPr>
                  </w:pPr>
                  <w:r>
                    <w:rPr>
                      <w:rFonts w:hint="eastAsia"/>
                      <w:sz w:val="18"/>
                      <w:szCs w:val="18"/>
                    </w:rPr>
                    <w:t>废气</w:t>
                  </w:r>
                </w:p>
              </w:tc>
              <w:tc>
                <w:tcPr>
                  <w:tcW w:w="325" w:type="pct"/>
                  <w:tcBorders>
                    <w:top w:val="single" w:color="auto" w:sz="12" w:space="0"/>
                  </w:tcBorders>
                  <w:vAlign w:val="center"/>
                </w:tcPr>
                <w:p>
                  <w:pPr>
                    <w:spacing w:line="240" w:lineRule="exact"/>
                    <w:jc w:val="center"/>
                    <w:rPr>
                      <w:sz w:val="18"/>
                      <w:szCs w:val="18"/>
                    </w:rPr>
                  </w:pPr>
                  <w:r>
                    <w:rPr>
                      <w:rFonts w:hint="eastAsia"/>
                      <w:sz w:val="18"/>
                      <w:szCs w:val="18"/>
                    </w:rPr>
                    <w:t>实验室废气</w:t>
                  </w:r>
                </w:p>
              </w:tc>
              <w:tc>
                <w:tcPr>
                  <w:tcW w:w="1426" w:type="pct"/>
                  <w:tcBorders>
                    <w:top w:val="single" w:color="auto" w:sz="12" w:space="0"/>
                  </w:tcBorders>
                  <w:vAlign w:val="center"/>
                </w:tcPr>
                <w:p>
                  <w:pPr>
                    <w:adjustRightInd w:val="0"/>
                    <w:snapToGrid w:val="0"/>
                    <w:rPr>
                      <w:rFonts w:eastAsiaTheme="minorEastAsia"/>
                      <w:kern w:val="0"/>
                      <w:sz w:val="18"/>
                      <w:szCs w:val="18"/>
                    </w:rPr>
                  </w:pPr>
                  <w:r>
                    <w:rPr>
                      <w:rFonts w:eastAsiaTheme="minorEastAsia"/>
                      <w:kern w:val="0"/>
                      <w:sz w:val="18"/>
                      <w:szCs w:val="18"/>
                    </w:rPr>
                    <w:t>二层、五层实验室内设置通风柜，涉及有机溶剂工序均在5层试剂配液间进行，通风柜收集后经废气收集管网至楼顶经活性炭吸附装置处理后经20m高排气筒排放</w:t>
                  </w:r>
                  <w:r>
                    <w:rPr>
                      <w:rFonts w:hint="eastAsia" w:eastAsiaTheme="minorEastAsia"/>
                      <w:kern w:val="0"/>
                      <w:sz w:val="18"/>
                      <w:szCs w:val="18"/>
                    </w:rPr>
                    <w:t>。</w:t>
                  </w:r>
                </w:p>
              </w:tc>
              <w:tc>
                <w:tcPr>
                  <w:tcW w:w="1542" w:type="pct"/>
                  <w:tcBorders>
                    <w:top w:val="single" w:color="auto" w:sz="12" w:space="0"/>
                  </w:tcBorders>
                  <w:vAlign w:val="center"/>
                </w:tcPr>
                <w:p>
                  <w:pPr>
                    <w:spacing w:line="240" w:lineRule="exact"/>
                    <w:rPr>
                      <w:rFonts w:eastAsiaTheme="minorEastAsia"/>
                      <w:kern w:val="0"/>
                      <w:sz w:val="18"/>
                      <w:szCs w:val="18"/>
                    </w:rPr>
                  </w:pPr>
                  <w:r>
                    <w:rPr>
                      <w:rFonts w:eastAsiaTheme="minorEastAsia"/>
                      <w:kern w:val="0"/>
                      <w:sz w:val="18"/>
                      <w:szCs w:val="18"/>
                    </w:rPr>
                    <w:t>二层、五层实验室内设置通风柜，涉及有机溶剂工序均在5层试剂配液间进行，通风柜收集后经废气收集管网至楼顶经活性炭吸附装置处理后经</w:t>
                  </w:r>
                  <w:r>
                    <w:rPr>
                      <w:rFonts w:hint="eastAsia" w:eastAsiaTheme="minorEastAsia"/>
                      <w:kern w:val="0"/>
                      <w:sz w:val="18"/>
                      <w:szCs w:val="18"/>
                    </w:rPr>
                    <w:t>28</w:t>
                  </w:r>
                  <w:r>
                    <w:rPr>
                      <w:rFonts w:eastAsiaTheme="minorEastAsia"/>
                      <w:kern w:val="0"/>
                      <w:sz w:val="18"/>
                      <w:szCs w:val="18"/>
                    </w:rPr>
                    <w:t>m高排气筒排放</w:t>
                  </w:r>
                  <w:r>
                    <w:rPr>
                      <w:rFonts w:hint="eastAsia" w:eastAsiaTheme="minorEastAsia"/>
                      <w:kern w:val="0"/>
                      <w:sz w:val="18"/>
                      <w:szCs w:val="18"/>
                    </w:rPr>
                    <w:t>。</w:t>
                  </w:r>
                </w:p>
              </w:tc>
              <w:tc>
                <w:tcPr>
                  <w:tcW w:w="1170" w:type="pct"/>
                  <w:tcBorders>
                    <w:top w:val="single" w:color="auto" w:sz="12" w:space="0"/>
                  </w:tcBorders>
                  <w:vAlign w:val="center"/>
                </w:tcPr>
                <w:p>
                  <w:pPr>
                    <w:spacing w:line="240" w:lineRule="exact"/>
                    <w:rPr>
                      <w:sz w:val="18"/>
                      <w:szCs w:val="18"/>
                    </w:rPr>
                  </w:pPr>
                  <w:r>
                    <w:rPr>
                      <w:rFonts w:hint="eastAsia"/>
                      <w:sz w:val="18"/>
                      <w:szCs w:val="18"/>
                    </w:rPr>
                    <w:t>排气筒高度增加8米</w:t>
                  </w:r>
                </w:p>
              </w:tc>
            </w:tr>
          </w:tbl>
          <w:p>
            <w:pPr>
              <w:spacing w:line="360" w:lineRule="auto"/>
              <w:ind w:firstLine="480" w:firstLineChars="200"/>
              <w:rPr>
                <w:color w:val="000000"/>
                <w:sz w:val="24"/>
              </w:rPr>
            </w:pPr>
            <w:r>
              <w:rPr>
                <w:rFonts w:hint="eastAsia"/>
                <w:color w:val="000000"/>
                <w:sz w:val="24"/>
              </w:rPr>
              <w:t>相关分析：根据</w:t>
            </w:r>
            <w:r>
              <w:rPr>
                <w:color w:val="000000"/>
                <w:sz w:val="24"/>
              </w:rPr>
              <w:t>《污染影响类建设项目重大变动清单（试行）》（环办环评函[2020]688号）</w:t>
            </w:r>
            <w:r>
              <w:rPr>
                <w:rFonts w:hint="eastAsia"/>
                <w:color w:val="000000"/>
                <w:sz w:val="24"/>
              </w:rPr>
              <w:t>对于排气筒高度的规定是“主要排放口排气高度降低10%及以上的”属于重大变动，本项目排气高度增加了8米，可认为有利变化，更不会增加对周边环境的不利影响。</w:t>
            </w:r>
          </w:p>
          <w:p>
            <w:pPr>
              <w:spacing w:line="360" w:lineRule="auto"/>
              <w:ind w:firstLine="480" w:firstLineChars="200"/>
              <w:rPr>
                <w:color w:val="000000" w:themeColor="text1"/>
                <w:sz w:val="24"/>
                <w14:textFill>
                  <w14:solidFill>
                    <w14:schemeClr w14:val="tx1"/>
                  </w14:solidFill>
                </w14:textFill>
              </w:rPr>
            </w:pPr>
            <w:r>
              <w:rPr>
                <w:color w:val="000000"/>
                <w:sz w:val="24"/>
              </w:rPr>
              <w:t>对照生态环境部关于印发《污染影响类建设项目重大变动清单（试行）》（环办环评函[2020]688号），</w:t>
            </w:r>
            <w:r>
              <w:rPr>
                <w:rFonts w:hint="eastAsia"/>
                <w:color w:val="000000"/>
                <w:sz w:val="24"/>
              </w:rPr>
              <w:t>项目</w:t>
            </w:r>
            <w:r>
              <w:rPr>
                <w:color w:val="000000"/>
                <w:sz w:val="24"/>
              </w:rPr>
              <w:t>性质、规模、地点、生产工艺、环保措施发生的变动均未加重对环境的不利影响，不构成重大变动，不需要重新报批环评文件。</w:t>
            </w:r>
          </w:p>
        </w:tc>
      </w:tr>
    </w:tbl>
    <w:p>
      <w:pPr>
        <w:pStyle w:val="5"/>
        <w:rPr>
          <w:rFonts w:ascii="Times New Roman" w:hAnsi="Times New Roman"/>
          <w:color w:val="000000" w:themeColor="text1"/>
          <w14:textFill>
            <w14:solidFill>
              <w14:schemeClr w14:val="tx1"/>
            </w14:solidFill>
          </w14:textFill>
        </w:rPr>
      </w:pPr>
      <w:bookmarkStart w:id="5" w:name="_Toc525552348"/>
      <w:r>
        <w:rPr>
          <w:rFonts w:ascii="Times New Roman" w:hAnsi="Times New Roman"/>
          <w:color w:val="000000" w:themeColor="text1"/>
          <w14:textFill>
            <w14:solidFill>
              <w14:schemeClr w14:val="tx1"/>
            </w14:solidFill>
          </w14:textFill>
        </w:rPr>
        <w:t>表三  主要污染物处理设施及排放情况</w:t>
      </w:r>
      <w:bookmarkEnd w:id="5"/>
    </w:p>
    <w:tbl>
      <w:tblPr>
        <w:tblStyle w:val="28"/>
        <w:tblW w:w="9286"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09" w:hRule="atLeast"/>
          <w:jc w:val="center"/>
        </w:trPr>
        <w:tc>
          <w:tcPr>
            <w:tcW w:w="9286" w:type="dxa"/>
            <w:vAlign w:val="center"/>
          </w:tcPr>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3.1施工期污染物治理/处置设施</w:t>
            </w:r>
          </w:p>
          <w:p>
            <w:pPr>
              <w:pStyle w:val="36"/>
              <w:spacing w:after="0"/>
              <w:rPr>
                <w:rFonts w:eastAsia="黑体"/>
                <w:color w:val="000000" w:themeColor="text1"/>
                <w14:textFill>
                  <w14:solidFill>
                    <w14:schemeClr w14:val="tx1"/>
                  </w14:solidFill>
                </w14:textFill>
              </w:rPr>
            </w:pPr>
            <w:r>
              <w:rPr>
                <w:rFonts w:hint="eastAsia"/>
                <w:color w:val="000000" w:themeColor="text1"/>
                <w:szCs w:val="24"/>
                <w14:textFill>
                  <w14:solidFill>
                    <w14:schemeClr w14:val="tx1"/>
                  </w14:solidFill>
                </w14:textFill>
              </w:rPr>
              <w:t>项目</w:t>
            </w:r>
            <w:r>
              <w:rPr>
                <w:color w:val="000000" w:themeColor="text1"/>
                <w:szCs w:val="24"/>
                <w14:textFill>
                  <w14:solidFill>
                    <w14:schemeClr w14:val="tx1"/>
                  </w14:solidFill>
                </w14:textFill>
              </w:rPr>
              <w:t>施工期间主要进行室内装修及设备安装作业，在装修过程中对外界影响较小，基本落实了环评报告及批复提出的相应环保措施，采取了合理的施工组织方式，施工期间无环保相关投诉和环境污染纠纷。</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3.1.1废水</w:t>
            </w:r>
          </w:p>
          <w:p>
            <w:pPr>
              <w:spacing w:line="360" w:lineRule="auto"/>
              <w:ind w:firstLine="480" w:firstLineChars="20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施工期间，施工人员产生的生活污水经园区污水管道进入化粪池处理后经市政管网排入豹澥污水处理厂处理，处理后的尾水排入长江（武汉段）。</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3.1.2废气</w:t>
            </w:r>
          </w:p>
          <w:p>
            <w:pPr>
              <w:spacing w:line="360" w:lineRule="auto"/>
              <w:ind w:firstLine="48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项目装修过程中产生的灰尘主要通过洒水抑尘、及时清扫等措施降低了室内粉尘浓度。并且施工人员通过佩戴防尘口罩降低对健康的损害。</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3.1.3噪声</w:t>
            </w:r>
          </w:p>
          <w:p>
            <w:pPr>
              <w:spacing w:line="360" w:lineRule="auto"/>
              <w:ind w:firstLine="480" w:firstLineChars="200"/>
              <w:jc w:val="left"/>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装修期间，使用高噪音设备如砂轮锯、电钻、切割机等设备时均设置在离门窗较远的位置，且只在昼间进行。</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3.1.4固体废物</w:t>
            </w:r>
          </w:p>
          <w:p>
            <w:pPr>
              <w:spacing w:line="360" w:lineRule="auto"/>
              <w:ind w:firstLine="480" w:firstLineChars="200"/>
              <w:rPr>
                <w:color w:val="000000"/>
                <w:sz w:val="24"/>
              </w:rPr>
            </w:pPr>
            <w:r>
              <w:rPr>
                <w:color w:val="000000"/>
                <w:sz w:val="24"/>
              </w:rPr>
              <w:t>装修阶段产生的固体废弃物主要为施工人员生活垃圾以及装修废料。施工人员产生的生活垃圾收集后放置垃圾收集桶内；装修垃圾按照物业要求运至装修垃圾堆放点，由物业统一交由环卫部门处理。</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3.2营运期污染物治理/处置设施</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3.2.1废水</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废水主要为生活污水和研发废水（主要为地面清洗废水、器皿(经高压灭菌后)清洗废水、工衣清洗废水和纯水制备过程中产生的浓水、配液废水），其中项目配液废水全部进入危废。项目生活污水与研发废水经C4栋内排水管网排入园区内化粪池处理后，再进入园区污水处理站处理</w:t>
            </w:r>
            <w:r>
              <w:rPr>
                <w:rFonts w:hint="eastAsia"/>
                <w:color w:val="000000" w:themeColor="text1"/>
                <w:sz w:val="24"/>
                <w:lang w:eastAsia="zh-CN"/>
                <w14:textFill>
                  <w14:solidFill>
                    <w14:schemeClr w14:val="tx1"/>
                  </w14:solidFill>
                </w14:textFill>
              </w:rPr>
              <w:t>（项目污水接纳协议见附件</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，处理达标后排入市政管网，进入豹澥污水处理厂，处理达标后外排长江武汉段。</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依托的园区污水处理站的工艺采用“水解酸化+接触氧化+斜管沉淀”工艺来处理园区内综合废水，设计处理能力为100m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d。首先废水经过格栅截留较大的漂浮物，格栅的出水自流进入初沉池，去除污水中的大颗粒悬浮物质。初沉池出水进入调节池调节水质水量，池底设置穿孔曝气装置，保证水质均匀，调节池污水经提升泵提升至AO生化处理单位，去除水中大部分有机物和含氮类污染物。生化处理后的污水经PAC/PAM混合后经斜管沉淀池进行沉淀，沉淀池出水进入消毒池经消毒处理后达标排放。初沉池和斜管沉淀池的污泥通过设备输送至污泥储存池，污泥储存池内上清液和部分污泥回流至原污水处理系统内，剩余污泥定期外运处置。</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污水走向示意图见图3-1，园区污水处理设施工艺流程见图3-2。</w:t>
            </w:r>
          </w:p>
          <w:tbl>
            <w:tblPr>
              <w:tblStyle w:val="29"/>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c>
                <w:tcPr>
                  <w:tcW w:w="9070" w:type="dxa"/>
                  <w:tcBorders>
                    <w:tl2br w:val="nil"/>
                    <w:tr2bl w:val="nil"/>
                  </w:tcBorders>
                </w:tcPr>
                <w:p>
                  <w:pPr>
                    <w:pStyle w:val="2"/>
                    <w:ind w:left="0" w:leftChars="0" w:firstLine="0" w:firstLineChars="0"/>
                    <w:jc w:val="center"/>
                    <w:rPr>
                      <w:color w:val="000000" w:themeColor="text1"/>
                      <w:sz w:val="24"/>
                      <w14:textFill>
                        <w14:solidFill>
                          <w14:schemeClr w14:val="tx1"/>
                        </w14:solidFill>
                      </w14:textFill>
                    </w:rPr>
                  </w:pPr>
                  <w:r>
                    <w:object>
                      <v:shape id="_x0000_i1026" o:spt="75" type="#_x0000_t75" style="height:160.9pt;width:295.5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6" r:id="rId12">
                        <o:LockedField>false</o:LockedField>
                      </o:OLEObject>
                    </w:object>
                  </w:r>
                </w:p>
              </w:tc>
            </w:tr>
          </w:tbl>
          <w:p>
            <w:pPr>
              <w:pStyle w:val="122"/>
              <w:rPr>
                <w:b w:val="0"/>
                <w:sz w:val="21"/>
                <w:szCs w:val="21"/>
              </w:rPr>
            </w:pPr>
            <w:r>
              <w:rPr>
                <w:b w:val="0"/>
                <w:sz w:val="21"/>
                <w:szCs w:val="21"/>
              </w:rPr>
              <w:t xml:space="preserve">图3-1 </w:t>
            </w:r>
            <w:r>
              <w:rPr>
                <w:rFonts w:hint="eastAsia"/>
                <w:b w:val="0"/>
                <w:sz w:val="21"/>
                <w:szCs w:val="21"/>
              </w:rPr>
              <w:t>项目</w:t>
            </w:r>
            <w:r>
              <w:rPr>
                <w:b w:val="0"/>
                <w:sz w:val="21"/>
                <w:szCs w:val="21"/>
              </w:rPr>
              <w:t>污水走向示意图</w:t>
            </w:r>
          </w:p>
          <w:tbl>
            <w:tblPr>
              <w:tblStyle w:val="29"/>
              <w:tblW w:w="9070"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9070" w:type="dxa"/>
                  <w:tcBorders>
                    <w:tl2br w:val="nil"/>
                    <w:tr2bl w:val="nil"/>
                  </w:tcBorders>
                  <w:vAlign w:val="center"/>
                </w:tcPr>
                <w:p>
                  <w:pPr>
                    <w:pStyle w:val="122"/>
                    <w:rPr>
                      <w:b w:val="0"/>
                      <w:sz w:val="21"/>
                      <w:szCs w:val="21"/>
                    </w:rPr>
                  </w:pPr>
                  <w:r>
                    <w:object>
                      <v:shape id="_x0000_i1027" o:spt="75" type="#_x0000_t75" style="height:74.5pt;width:381.9pt;" o:ole="t" filled="f" o:preferrelative="t" stroked="f" coordsize="21600,21600">
                        <v:path/>
                        <v:fill on="f" focussize="0,0"/>
                        <v:stroke on="f" joinstyle="miter"/>
                        <v:imagedata r:id="rId15" o:title=""/>
                        <o:lock v:ext="edit" aspectratio="t"/>
                        <w10:wrap type="none"/>
                        <w10:anchorlock/>
                      </v:shape>
                      <o:OLEObject Type="Embed" ProgID="Visio.Drawing.11" ShapeID="_x0000_i1027" DrawAspect="Content" ObjectID="_1468075727" r:id="rId14">
                        <o:LockedField>false</o:LockedField>
                      </o:OLEObject>
                    </w:object>
                  </w:r>
                </w:p>
              </w:tc>
            </w:tr>
          </w:tbl>
          <w:p>
            <w:pPr>
              <w:pStyle w:val="122"/>
              <w:rPr>
                <w:b w:val="0"/>
                <w:sz w:val="21"/>
                <w:szCs w:val="21"/>
              </w:rPr>
            </w:pPr>
            <w:r>
              <w:rPr>
                <w:b w:val="0"/>
                <w:sz w:val="21"/>
                <w:szCs w:val="21"/>
              </w:rPr>
              <w:t>图3-2 园区污水处理站工艺流程图</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项目废水产生排放情况详见表3-1。</w:t>
            </w:r>
          </w:p>
          <w:p>
            <w:pPr>
              <w:ind w:firstLine="420" w:firstLineChars="200"/>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表3-1 项目废水产生排放情况一览表</w:t>
            </w:r>
          </w:p>
          <w:tbl>
            <w:tblPr>
              <w:tblStyle w:val="29"/>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415"/>
              <w:gridCol w:w="1842"/>
              <w:gridCol w:w="1297"/>
              <w:gridCol w:w="2000"/>
              <w:gridCol w:w="1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2" w:type="dxa"/>
                  <w:tcBorders>
                    <w:bottom w:val="single" w:color="auto" w:sz="12" w:space="0"/>
                  </w:tcBorders>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序号</w:t>
                  </w:r>
                </w:p>
              </w:tc>
              <w:tc>
                <w:tcPr>
                  <w:tcW w:w="1415" w:type="dxa"/>
                  <w:tcBorders>
                    <w:bottom w:val="single" w:color="auto" w:sz="12" w:space="0"/>
                  </w:tcBorders>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废水类别</w:t>
                  </w:r>
                </w:p>
              </w:tc>
              <w:tc>
                <w:tcPr>
                  <w:tcW w:w="1842" w:type="dxa"/>
                  <w:tcBorders>
                    <w:bottom w:val="single" w:color="auto" w:sz="12" w:space="0"/>
                  </w:tcBorders>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污染物种类</w:t>
                  </w:r>
                </w:p>
              </w:tc>
              <w:tc>
                <w:tcPr>
                  <w:tcW w:w="1297" w:type="dxa"/>
                  <w:tcBorders>
                    <w:bottom w:val="single" w:color="auto" w:sz="12" w:space="0"/>
                  </w:tcBorders>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治理设施</w:t>
                  </w:r>
                </w:p>
              </w:tc>
              <w:tc>
                <w:tcPr>
                  <w:tcW w:w="2000" w:type="dxa"/>
                  <w:tcBorders>
                    <w:bottom w:val="single" w:color="auto" w:sz="12" w:space="0"/>
                  </w:tcBorders>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依托设施</w:t>
                  </w:r>
                </w:p>
              </w:tc>
              <w:tc>
                <w:tcPr>
                  <w:tcW w:w="1805" w:type="dxa"/>
                  <w:tcBorders>
                    <w:bottom w:val="single" w:color="auto" w:sz="12" w:space="0"/>
                  </w:tcBorders>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2" w:type="dxa"/>
                  <w:tcBorders>
                    <w:top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415" w:type="dxa"/>
                  <w:tcBorders>
                    <w:top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生活污水</w:t>
                  </w:r>
                </w:p>
              </w:tc>
              <w:tc>
                <w:tcPr>
                  <w:tcW w:w="1842" w:type="dxa"/>
                  <w:vMerge w:val="restart"/>
                  <w:tcBorders>
                    <w:top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BOD</w:t>
                  </w:r>
                  <w:r>
                    <w:rPr>
                      <w:color w:val="000000" w:themeColor="text1"/>
                      <w:sz w:val="18"/>
                      <w:szCs w:val="18"/>
                      <w:vertAlign w:val="subscript"/>
                      <w14:textFill>
                        <w14:solidFill>
                          <w14:schemeClr w14:val="tx1"/>
                        </w14:solidFill>
                      </w14:textFill>
                    </w:rPr>
                    <w:t>5</w:t>
                  </w:r>
                  <w:r>
                    <w:rPr>
                      <w:color w:val="000000" w:themeColor="text1"/>
                      <w:sz w:val="18"/>
                      <w:szCs w:val="18"/>
                      <w14:textFill>
                        <w14:solidFill>
                          <w14:schemeClr w14:val="tx1"/>
                        </w14:solidFill>
                      </w14:textFill>
                    </w:rPr>
                    <w:t>、COD、氨氮、悬浮物</w:t>
                  </w:r>
                </w:p>
              </w:tc>
              <w:tc>
                <w:tcPr>
                  <w:tcW w:w="1297" w:type="dxa"/>
                  <w:vMerge w:val="restart"/>
                  <w:tcBorders>
                    <w:top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化粪池</w:t>
                  </w:r>
                </w:p>
              </w:tc>
              <w:tc>
                <w:tcPr>
                  <w:tcW w:w="2000" w:type="dxa"/>
                  <w:vMerge w:val="restart"/>
                  <w:tcBorders>
                    <w:top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生物医药园园区污水处理站处理</w:t>
                  </w:r>
                </w:p>
              </w:tc>
              <w:tc>
                <w:tcPr>
                  <w:tcW w:w="1805" w:type="dxa"/>
                  <w:vMerge w:val="restart"/>
                  <w:tcBorders>
                    <w:top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豹澥污水处理厂至长江武汉段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2"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41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地面清洗废水</w:t>
                  </w:r>
                </w:p>
              </w:tc>
              <w:tc>
                <w:tcPr>
                  <w:tcW w:w="1842" w:type="dxa"/>
                  <w:vMerge w:val="continue"/>
                  <w:vAlign w:val="center"/>
                </w:tcPr>
                <w:p>
                  <w:pPr>
                    <w:jc w:val="center"/>
                    <w:rPr>
                      <w:color w:val="000000" w:themeColor="text1"/>
                      <w:sz w:val="18"/>
                      <w:szCs w:val="18"/>
                      <w14:textFill>
                        <w14:solidFill>
                          <w14:schemeClr w14:val="tx1"/>
                        </w14:solidFill>
                      </w14:textFill>
                    </w:rPr>
                  </w:pPr>
                </w:p>
              </w:tc>
              <w:tc>
                <w:tcPr>
                  <w:tcW w:w="1297" w:type="dxa"/>
                  <w:vMerge w:val="continue"/>
                  <w:vAlign w:val="center"/>
                </w:tcPr>
                <w:p>
                  <w:pPr>
                    <w:jc w:val="center"/>
                    <w:rPr>
                      <w:color w:val="000000" w:themeColor="text1"/>
                      <w:sz w:val="18"/>
                      <w:szCs w:val="18"/>
                      <w14:textFill>
                        <w14:solidFill>
                          <w14:schemeClr w14:val="tx1"/>
                        </w14:solidFill>
                      </w14:textFill>
                    </w:rPr>
                  </w:pPr>
                </w:p>
              </w:tc>
              <w:tc>
                <w:tcPr>
                  <w:tcW w:w="2000" w:type="dxa"/>
                  <w:vMerge w:val="continue"/>
                  <w:vAlign w:val="center"/>
                </w:tcPr>
                <w:p>
                  <w:pPr>
                    <w:jc w:val="center"/>
                    <w:rPr>
                      <w:color w:val="000000" w:themeColor="text1"/>
                      <w:sz w:val="18"/>
                      <w:szCs w:val="18"/>
                      <w14:textFill>
                        <w14:solidFill>
                          <w14:schemeClr w14:val="tx1"/>
                        </w14:solidFill>
                      </w14:textFill>
                    </w:rPr>
                  </w:pPr>
                </w:p>
              </w:tc>
              <w:tc>
                <w:tcPr>
                  <w:tcW w:w="1805" w:type="dxa"/>
                  <w:vMerge w:val="continue"/>
                  <w:vAlign w:val="center"/>
                </w:tcPr>
                <w:p>
                  <w:pPr>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712"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141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器皿清洗用水</w:t>
                  </w:r>
                </w:p>
              </w:tc>
              <w:tc>
                <w:tcPr>
                  <w:tcW w:w="1842" w:type="dxa"/>
                  <w:vMerge w:val="continue"/>
                  <w:vAlign w:val="center"/>
                </w:tcPr>
                <w:p>
                  <w:pPr>
                    <w:jc w:val="center"/>
                    <w:rPr>
                      <w:color w:val="000000" w:themeColor="text1"/>
                      <w:sz w:val="18"/>
                      <w:szCs w:val="18"/>
                      <w14:textFill>
                        <w14:solidFill>
                          <w14:schemeClr w14:val="tx1"/>
                        </w14:solidFill>
                      </w14:textFill>
                    </w:rPr>
                  </w:pPr>
                </w:p>
              </w:tc>
              <w:tc>
                <w:tcPr>
                  <w:tcW w:w="1297" w:type="dxa"/>
                  <w:vMerge w:val="continue"/>
                  <w:vAlign w:val="center"/>
                </w:tcPr>
                <w:p>
                  <w:pPr>
                    <w:jc w:val="center"/>
                    <w:rPr>
                      <w:color w:val="000000" w:themeColor="text1"/>
                      <w:sz w:val="18"/>
                      <w:szCs w:val="18"/>
                      <w14:textFill>
                        <w14:solidFill>
                          <w14:schemeClr w14:val="tx1"/>
                        </w14:solidFill>
                      </w14:textFill>
                    </w:rPr>
                  </w:pPr>
                </w:p>
              </w:tc>
              <w:tc>
                <w:tcPr>
                  <w:tcW w:w="2000" w:type="dxa"/>
                  <w:vMerge w:val="continue"/>
                  <w:vAlign w:val="center"/>
                </w:tcPr>
                <w:p>
                  <w:pPr>
                    <w:jc w:val="center"/>
                    <w:rPr>
                      <w:color w:val="000000" w:themeColor="text1"/>
                      <w:sz w:val="18"/>
                      <w:szCs w:val="18"/>
                      <w14:textFill>
                        <w14:solidFill>
                          <w14:schemeClr w14:val="tx1"/>
                        </w14:solidFill>
                      </w14:textFill>
                    </w:rPr>
                  </w:pPr>
                </w:p>
              </w:tc>
              <w:tc>
                <w:tcPr>
                  <w:tcW w:w="1805" w:type="dxa"/>
                  <w:vMerge w:val="continue"/>
                  <w:vAlign w:val="center"/>
                </w:tcPr>
                <w:p>
                  <w:pPr>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712"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141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工衣清洗用水</w:t>
                  </w:r>
                </w:p>
              </w:tc>
              <w:tc>
                <w:tcPr>
                  <w:tcW w:w="1842" w:type="dxa"/>
                  <w:vMerge w:val="continue"/>
                  <w:vAlign w:val="center"/>
                </w:tcPr>
                <w:p>
                  <w:pPr>
                    <w:jc w:val="center"/>
                    <w:rPr>
                      <w:color w:val="000000" w:themeColor="text1"/>
                      <w:sz w:val="18"/>
                      <w:szCs w:val="18"/>
                      <w14:textFill>
                        <w14:solidFill>
                          <w14:schemeClr w14:val="tx1"/>
                        </w14:solidFill>
                      </w14:textFill>
                    </w:rPr>
                  </w:pPr>
                </w:p>
              </w:tc>
              <w:tc>
                <w:tcPr>
                  <w:tcW w:w="1297" w:type="dxa"/>
                  <w:vMerge w:val="continue"/>
                  <w:vAlign w:val="center"/>
                </w:tcPr>
                <w:p>
                  <w:pPr>
                    <w:jc w:val="center"/>
                    <w:rPr>
                      <w:sz w:val="18"/>
                      <w:szCs w:val="18"/>
                    </w:rPr>
                  </w:pPr>
                </w:p>
              </w:tc>
              <w:tc>
                <w:tcPr>
                  <w:tcW w:w="2000" w:type="dxa"/>
                  <w:vMerge w:val="continue"/>
                  <w:vAlign w:val="center"/>
                </w:tcPr>
                <w:p>
                  <w:pPr>
                    <w:jc w:val="center"/>
                    <w:rPr>
                      <w:color w:val="000000" w:themeColor="text1"/>
                      <w:sz w:val="18"/>
                      <w:szCs w:val="18"/>
                      <w14:textFill>
                        <w14:solidFill>
                          <w14:schemeClr w14:val="tx1"/>
                        </w14:solidFill>
                      </w14:textFill>
                    </w:rPr>
                  </w:pPr>
                </w:p>
              </w:tc>
              <w:tc>
                <w:tcPr>
                  <w:tcW w:w="1805" w:type="dxa"/>
                  <w:vMerge w:val="continue"/>
                  <w:vAlign w:val="center"/>
                </w:tcPr>
                <w:p>
                  <w:pPr>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2"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141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纯水制备产生的RO浓水</w:t>
                  </w:r>
                </w:p>
              </w:tc>
              <w:tc>
                <w:tcPr>
                  <w:tcW w:w="1842" w:type="dxa"/>
                  <w:vMerge w:val="continue"/>
                  <w:vAlign w:val="center"/>
                </w:tcPr>
                <w:p>
                  <w:pPr>
                    <w:jc w:val="center"/>
                    <w:rPr>
                      <w:color w:val="000000" w:themeColor="text1"/>
                      <w:sz w:val="18"/>
                      <w:szCs w:val="18"/>
                      <w14:textFill>
                        <w14:solidFill>
                          <w14:schemeClr w14:val="tx1"/>
                        </w14:solidFill>
                      </w14:textFill>
                    </w:rPr>
                  </w:pPr>
                </w:p>
              </w:tc>
              <w:tc>
                <w:tcPr>
                  <w:tcW w:w="1297" w:type="dxa"/>
                  <w:vMerge w:val="continue"/>
                  <w:vAlign w:val="center"/>
                </w:tcPr>
                <w:p>
                  <w:pPr>
                    <w:jc w:val="center"/>
                    <w:rPr>
                      <w:sz w:val="18"/>
                      <w:szCs w:val="18"/>
                    </w:rPr>
                  </w:pPr>
                </w:p>
              </w:tc>
              <w:tc>
                <w:tcPr>
                  <w:tcW w:w="2000" w:type="dxa"/>
                  <w:vMerge w:val="continue"/>
                  <w:vAlign w:val="center"/>
                </w:tcPr>
                <w:p>
                  <w:pPr>
                    <w:jc w:val="center"/>
                    <w:rPr>
                      <w:color w:val="000000" w:themeColor="text1"/>
                      <w:sz w:val="18"/>
                      <w:szCs w:val="18"/>
                      <w14:textFill>
                        <w14:solidFill>
                          <w14:schemeClr w14:val="tx1"/>
                        </w14:solidFill>
                      </w14:textFill>
                    </w:rPr>
                  </w:pPr>
                </w:p>
              </w:tc>
              <w:tc>
                <w:tcPr>
                  <w:tcW w:w="1805" w:type="dxa"/>
                  <w:vMerge w:val="continue"/>
                  <w:vAlign w:val="center"/>
                </w:tcPr>
                <w:p>
                  <w:pPr>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712"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141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配液废水</w:t>
                  </w:r>
                </w:p>
              </w:tc>
              <w:tc>
                <w:tcPr>
                  <w:tcW w:w="1842"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实验室废液</w:t>
                  </w:r>
                </w:p>
              </w:tc>
              <w:tc>
                <w:tcPr>
                  <w:tcW w:w="1297" w:type="dxa"/>
                  <w:vAlign w:val="center"/>
                </w:tcPr>
                <w:p>
                  <w:pPr>
                    <w:jc w:val="center"/>
                    <w:rPr>
                      <w:sz w:val="18"/>
                      <w:szCs w:val="18"/>
                    </w:rPr>
                  </w:pPr>
                  <w:r>
                    <w:rPr>
                      <w:sz w:val="18"/>
                      <w:szCs w:val="18"/>
                    </w:rPr>
                    <w:t>危废处置</w:t>
                  </w:r>
                </w:p>
              </w:tc>
              <w:tc>
                <w:tcPr>
                  <w:tcW w:w="2000"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危废暂存间</w:t>
                  </w:r>
                </w:p>
              </w:tc>
              <w:tc>
                <w:tcPr>
                  <w:tcW w:w="1805" w:type="dxa"/>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华新环境工程（武穴）有限公司</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p>
          <w:tbl>
            <w:tblPr>
              <w:tblStyle w:val="28"/>
              <w:tblW w:w="8504" w:type="dxa"/>
              <w:jc w:val="center"/>
              <w:tblLayout w:type="fixed"/>
              <w:tblCellMar>
                <w:top w:w="0" w:type="dxa"/>
                <w:left w:w="108" w:type="dxa"/>
                <w:bottom w:w="0" w:type="dxa"/>
                <w:right w:w="108" w:type="dxa"/>
              </w:tblCellMar>
            </w:tblPr>
            <w:tblGrid>
              <w:gridCol w:w="4353"/>
              <w:gridCol w:w="4151"/>
            </w:tblGrid>
            <w:tr>
              <w:tblPrEx>
                <w:tblCellMar>
                  <w:top w:w="0" w:type="dxa"/>
                  <w:left w:w="108" w:type="dxa"/>
                  <w:bottom w:w="0" w:type="dxa"/>
                  <w:right w:w="108" w:type="dxa"/>
                </w:tblCellMar>
              </w:tblPrEx>
              <w:trPr>
                <w:trHeight w:val="2087" w:hRule="atLeast"/>
                <w:jc w:val="center"/>
              </w:trPr>
              <w:tc>
                <w:tcPr>
                  <w:tcW w:w="4353" w:type="dxa"/>
                  <w:vAlign w:val="center"/>
                </w:tcPr>
                <w:p>
                  <w:pPr>
                    <w:jc w:val="center"/>
                    <w:rPr>
                      <w:color w:val="000000" w:themeColor="text1"/>
                      <w:sz w:val="18"/>
                      <w:szCs w:val="18"/>
                      <w14:textFill>
                        <w14:solidFill>
                          <w14:schemeClr w14:val="tx1"/>
                        </w14:solidFill>
                      </w14:textFill>
                    </w:rPr>
                  </w:pPr>
                  <w:r>
                    <w:drawing>
                      <wp:inline distT="0" distB="0" distL="114300" distR="114300">
                        <wp:extent cx="2111375" cy="1453515"/>
                        <wp:effectExtent l="0" t="0" r="3175" b="13335"/>
                        <wp:docPr id="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5"/>
                                <pic:cNvPicPr>
                                  <a:picLocks noChangeAspect="1"/>
                                </pic:cNvPicPr>
                              </pic:nvPicPr>
                              <pic:blipFill>
                                <a:blip r:embed="rId16"/>
                                <a:srcRect l="1126" t="-756" r="1126" b="-183"/>
                                <a:stretch>
                                  <a:fillRect/>
                                </a:stretch>
                              </pic:blipFill>
                              <pic:spPr>
                                <a:xfrm>
                                  <a:off x="0" y="0"/>
                                  <a:ext cx="2111375" cy="1453515"/>
                                </a:xfrm>
                                <a:prstGeom prst="rect">
                                  <a:avLst/>
                                </a:prstGeom>
                                <a:noFill/>
                                <a:ln>
                                  <a:noFill/>
                                </a:ln>
                              </pic:spPr>
                            </pic:pic>
                          </a:graphicData>
                        </a:graphic>
                      </wp:inline>
                    </w:drawing>
                  </w:r>
                </w:p>
              </w:tc>
              <w:tc>
                <w:tcPr>
                  <w:tcW w:w="4151" w:type="dxa"/>
                  <w:vAlign w:val="center"/>
                </w:tcPr>
                <w:p>
                  <w:pPr>
                    <w:jc w:val="center"/>
                    <w:rPr>
                      <w:color w:val="000000" w:themeColor="text1"/>
                      <w:sz w:val="18"/>
                      <w:szCs w:val="18"/>
                      <w14:textFill>
                        <w14:solidFill>
                          <w14:schemeClr w14:val="tx1"/>
                        </w14:solidFill>
                      </w14:textFill>
                    </w:rPr>
                  </w:pPr>
                  <w:r>
                    <w:drawing>
                      <wp:inline distT="0" distB="0" distL="114300" distR="114300">
                        <wp:extent cx="2156460" cy="1454150"/>
                        <wp:effectExtent l="0" t="0" r="15240" b="12700"/>
                        <wp:docPr id="1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7"/>
                                <pic:cNvPicPr>
                                  <a:picLocks noChangeAspect="1"/>
                                </pic:cNvPicPr>
                              </pic:nvPicPr>
                              <pic:blipFill>
                                <a:blip r:embed="rId17"/>
                                <a:srcRect l="82" t="-491" r="82" b="-491"/>
                                <a:stretch>
                                  <a:fillRect/>
                                </a:stretch>
                              </pic:blipFill>
                              <pic:spPr>
                                <a:xfrm>
                                  <a:off x="0" y="0"/>
                                  <a:ext cx="2156460" cy="145415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353" w:type="dxa"/>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化粪池</w:t>
                  </w:r>
                </w:p>
              </w:tc>
              <w:tc>
                <w:tcPr>
                  <w:tcW w:w="4151" w:type="dxa"/>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园区污水处理站</w:t>
                  </w:r>
                </w:p>
              </w:tc>
            </w:tr>
            <w:tr>
              <w:tblPrEx>
                <w:tblCellMar>
                  <w:top w:w="0" w:type="dxa"/>
                  <w:left w:w="108" w:type="dxa"/>
                  <w:bottom w:w="0" w:type="dxa"/>
                  <w:right w:w="108" w:type="dxa"/>
                </w:tblCellMar>
              </w:tblPrEx>
              <w:trPr>
                <w:trHeight w:val="2387" w:hRule="atLeast"/>
                <w:jc w:val="center"/>
              </w:trPr>
              <w:tc>
                <w:tcPr>
                  <w:tcW w:w="4353" w:type="dxa"/>
                  <w:vAlign w:val="center"/>
                </w:tcPr>
                <w:p>
                  <w:pPr>
                    <w:jc w:val="center"/>
                    <w:rPr>
                      <w:rFonts w:eastAsia="黑体"/>
                      <w:color w:val="000000" w:themeColor="text1"/>
                      <w:sz w:val="18"/>
                      <w:szCs w:val="18"/>
                      <w14:textFill>
                        <w14:solidFill>
                          <w14:schemeClr w14:val="tx1"/>
                        </w14:solidFill>
                      </w14:textFill>
                    </w:rPr>
                  </w:pPr>
                  <w:r>
                    <w:drawing>
                      <wp:inline distT="0" distB="0" distL="114300" distR="114300">
                        <wp:extent cx="2165350" cy="1447800"/>
                        <wp:effectExtent l="0" t="0" r="6350" b="0"/>
                        <wp:docPr id="1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8"/>
                                <pic:cNvPicPr>
                                  <a:picLocks noChangeAspect="1"/>
                                </pic:cNvPicPr>
                              </pic:nvPicPr>
                              <pic:blipFill>
                                <a:blip r:embed="rId18"/>
                                <a:srcRect l="-124" t="-271" r="-124" b="-271"/>
                                <a:stretch>
                                  <a:fillRect/>
                                </a:stretch>
                              </pic:blipFill>
                              <pic:spPr>
                                <a:xfrm>
                                  <a:off x="0" y="0"/>
                                  <a:ext cx="2165350" cy="1447800"/>
                                </a:xfrm>
                                <a:prstGeom prst="rect">
                                  <a:avLst/>
                                </a:prstGeom>
                                <a:noFill/>
                                <a:ln>
                                  <a:noFill/>
                                </a:ln>
                              </pic:spPr>
                            </pic:pic>
                          </a:graphicData>
                        </a:graphic>
                      </wp:inline>
                    </w:drawing>
                  </w:r>
                </w:p>
              </w:tc>
              <w:tc>
                <w:tcPr>
                  <w:tcW w:w="4151" w:type="dxa"/>
                  <w:vAlign w:val="center"/>
                </w:tcPr>
                <w:p>
                  <w:pPr>
                    <w:jc w:val="center"/>
                    <w:rPr>
                      <w:rFonts w:eastAsia="黑体"/>
                      <w:color w:val="000000" w:themeColor="text1"/>
                      <w:sz w:val="18"/>
                      <w:szCs w:val="18"/>
                      <w14:textFill>
                        <w14:solidFill>
                          <w14:schemeClr w14:val="tx1"/>
                        </w14:solidFill>
                      </w14:textFill>
                    </w:rPr>
                  </w:pPr>
                  <w:r>
                    <w:drawing>
                      <wp:inline distT="0" distB="0" distL="114300" distR="114300">
                        <wp:extent cx="2195195" cy="1448435"/>
                        <wp:effectExtent l="0" t="0" r="14605" b="18415"/>
                        <wp:docPr id="1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0"/>
                                <pic:cNvPicPr>
                                  <a:picLocks noChangeAspect="1"/>
                                </pic:cNvPicPr>
                              </pic:nvPicPr>
                              <pic:blipFill>
                                <a:blip r:embed="rId19"/>
                                <a:srcRect l="-1417" t="324" r="-212" b="-910"/>
                                <a:stretch>
                                  <a:fillRect/>
                                </a:stretch>
                              </pic:blipFill>
                              <pic:spPr>
                                <a:xfrm>
                                  <a:off x="0" y="0"/>
                                  <a:ext cx="2195195" cy="144843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4353" w:type="dxa"/>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园区污水处理站</w:t>
                  </w:r>
                </w:p>
              </w:tc>
              <w:tc>
                <w:tcPr>
                  <w:tcW w:w="4151" w:type="dxa"/>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园区废水总排口</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图3-3 废水治理设施图片</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3.2.2废气</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主要废气为研发实验室废气，主要为甲醇、乙醇等溶剂挥发气体。</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项目涉及有机溶剂使用工序均在5层配液间进行，实验室在设计过程中采用负压设计，内设万向集气罩，废气经收集管道引至楼顶经活性炭吸附装置吸附处理后的尾气经2</w:t>
            </w:r>
            <w:r>
              <w:rPr>
                <w:rFonts w:hint="eastAsia"/>
                <w:color w:val="000000" w:themeColor="text1"/>
                <w:sz w:val="24"/>
                <w:lang w:val="en-US" w:eastAsia="zh-CN"/>
                <w14:textFill>
                  <w14:solidFill>
                    <w14:schemeClr w14:val="tx1"/>
                  </w14:solidFill>
                </w14:textFill>
              </w:rPr>
              <w:t>8</w:t>
            </w:r>
            <w:r>
              <w:rPr>
                <w:color w:val="000000" w:themeColor="text1"/>
                <w:sz w:val="24"/>
                <w14:textFill>
                  <w14:solidFill>
                    <w14:schemeClr w14:val="tx1"/>
                  </w14:solidFill>
                </w14:textFill>
              </w:rPr>
              <w:t>m高排气筒排放</w:t>
            </w:r>
            <w:r>
              <w:rPr>
                <w:rFonts w:hint="eastAsia"/>
                <w:color w:val="000000" w:themeColor="text1"/>
                <w:sz w:val="24"/>
                <w14:textFill>
                  <w14:solidFill>
                    <w14:schemeClr w14:val="tx1"/>
                  </w14:solidFill>
                </w14:textFill>
              </w:rPr>
              <w:t>。</w:t>
            </w:r>
          </w:p>
          <w:p>
            <w:pPr>
              <w:spacing w:line="300" w:lineRule="auto"/>
              <w:rPr>
                <w:b/>
                <w:bCs/>
                <w:sz w:val="24"/>
              </w:rPr>
            </w:pPr>
            <w:r>
              <w:rPr>
                <w:rFonts w:hint="eastAsia"/>
                <w:b/>
                <w:bCs/>
                <w:sz w:val="24"/>
              </w:rPr>
              <w:t>活性炭吸附箱结构：</w:t>
            </w:r>
          </w:p>
          <w:p>
            <w:pPr>
              <w:spacing w:line="300" w:lineRule="auto"/>
              <w:jc w:val="center"/>
              <w:rPr>
                <w:sz w:val="24"/>
              </w:rPr>
            </w:pPr>
            <w:r>
              <w:rPr>
                <w:rFonts w:hint="eastAsia"/>
                <w:sz w:val="24"/>
              </w:rPr>
              <w:drawing>
                <wp:inline distT="0" distB="0" distL="0" distR="0">
                  <wp:extent cx="5274310" cy="2530475"/>
                  <wp:effectExtent l="9525" t="9525" r="1206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srcRect/>
                          <a:stretch>
                            <a:fillRect/>
                          </a:stretch>
                        </pic:blipFill>
                        <pic:spPr>
                          <a:xfrm>
                            <a:off x="0" y="0"/>
                            <a:ext cx="5274310" cy="2531063"/>
                          </a:xfrm>
                          <a:prstGeom prst="rect">
                            <a:avLst/>
                          </a:prstGeom>
                          <a:noFill/>
                          <a:ln w="9525">
                            <a:solidFill>
                              <a:schemeClr val="tx1"/>
                            </a:solidFill>
                            <a:miter lim="800000"/>
                            <a:headEnd/>
                            <a:tailEnd/>
                          </a:ln>
                        </pic:spPr>
                      </pic:pic>
                    </a:graphicData>
                  </a:graphic>
                </wp:inline>
              </w:drawing>
            </w:r>
          </w:p>
          <w:p>
            <w:pPr>
              <w:spacing w:line="360" w:lineRule="auto"/>
              <w:jc w:val="left"/>
              <w:rPr>
                <w:rFonts w:hint="eastAsia"/>
                <w:b/>
                <w:bCs/>
                <w:color w:val="000000" w:themeColor="text1"/>
                <w:sz w:val="24"/>
                <w14:textFill>
                  <w14:solidFill>
                    <w14:schemeClr w14:val="tx1"/>
                  </w14:solidFill>
                </w14:textFill>
              </w:rPr>
            </w:pPr>
          </w:p>
          <w:p>
            <w:pPr>
              <w:spacing w:line="360" w:lineRule="auto"/>
              <w:jc w:val="left"/>
              <w:rPr>
                <w:rFonts w:hint="eastAsia"/>
                <w:b/>
                <w:bCs/>
                <w:color w:val="000000" w:themeColor="text1"/>
                <w:sz w:val="24"/>
                <w14:textFill>
                  <w14:solidFill>
                    <w14:schemeClr w14:val="tx1"/>
                  </w14:solidFill>
                </w14:textFill>
              </w:rPr>
            </w:pPr>
          </w:p>
          <w:p>
            <w:pPr>
              <w:spacing w:line="360" w:lineRule="auto"/>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活性炭吸附箱工作原理：</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尾气由风机提供动力，正压或负压进入活性炭吸附塔体，由于活性炭固体表面上存在着未平衡和未饱和的分子引力或化学健力，因此当此固体表面与气体接触时，就能吸引气体分子，使其浓聚并保持在固体表面，污染物质从而被吸附，废气经过滤器后，进入活性炭吸附塔体，净化气体高空达标排放。</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废气排放走向示意图见图3-4，废气产生排放情况见表3-2。</w:t>
            </w:r>
          </w:p>
          <w:tbl>
            <w:tblPr>
              <w:tblStyle w:val="29"/>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01" w:hRule="atLeast"/>
              </w:trPr>
              <w:tc>
                <w:tcPr>
                  <w:tcW w:w="9070" w:type="dxa"/>
                  <w:tcBorders>
                    <w:tl2br w:val="nil"/>
                    <w:tr2bl w:val="nil"/>
                  </w:tcBorders>
                  <w:vAlign w:val="center"/>
                </w:tcPr>
                <w:p>
                  <w:pPr>
                    <w:pStyle w:val="2"/>
                    <w:ind w:left="0" w:leftChars="0" w:firstLine="0" w:firstLineChars="0"/>
                    <w:jc w:val="center"/>
                  </w:pPr>
                  <w:r>
                    <w:object>
                      <v:shape id="_x0000_i1028" o:spt="75" type="#_x0000_t75" style="height:43.2pt;width:369.4pt;" o:ole="t" filled="f" o:preferrelative="t" stroked="f" coordsize="21600,21600">
                        <v:path/>
                        <v:fill on="f" focussize="0,0"/>
                        <v:stroke on="f" joinstyle="miter"/>
                        <v:imagedata r:id="rId22" o:title=""/>
                        <o:lock v:ext="edit" aspectratio="t"/>
                        <w10:wrap type="none"/>
                        <w10:anchorlock/>
                      </v:shape>
                      <o:OLEObject Type="Embed" ProgID="Visio.Drawing.11" ShapeID="_x0000_i1028" DrawAspect="Content" ObjectID="_1468075728" r:id="rId21">
                        <o:LockedField>false</o:LockedField>
                      </o:OLEObject>
                    </w:object>
                  </w:r>
                </w:p>
              </w:tc>
            </w:tr>
          </w:tbl>
          <w:p>
            <w:pPr>
              <w:pStyle w:val="122"/>
              <w:rPr>
                <w:b w:val="0"/>
                <w:sz w:val="21"/>
                <w:szCs w:val="21"/>
              </w:rPr>
            </w:pPr>
            <w:bookmarkStart w:id="6" w:name="_Ref15918738"/>
            <w:r>
              <w:rPr>
                <w:b w:val="0"/>
                <w:sz w:val="21"/>
                <w:szCs w:val="21"/>
              </w:rPr>
              <w:t>图3-4</w:t>
            </w:r>
            <w:bookmarkEnd w:id="6"/>
            <w:r>
              <w:rPr>
                <w:b w:val="0"/>
                <w:sz w:val="21"/>
                <w:szCs w:val="21"/>
              </w:rPr>
              <w:t>废气排放走向示意图</w:t>
            </w:r>
          </w:p>
          <w:p>
            <w:pPr>
              <w:spacing w:line="360" w:lineRule="auto"/>
              <w:jc w:val="center"/>
              <w:rPr>
                <w:color w:val="000000" w:themeColor="text1"/>
                <w:sz w:val="24"/>
                <w14:textFill>
                  <w14:solidFill>
                    <w14:schemeClr w14:val="tx1"/>
                  </w14:solidFill>
                </w14:textFill>
              </w:rPr>
            </w:pPr>
            <w:r>
              <w:rPr>
                <w:rFonts w:eastAsia="黑体"/>
                <w:color w:val="000000" w:themeColor="text1"/>
                <w14:textFill>
                  <w14:solidFill>
                    <w14:schemeClr w14:val="tx1"/>
                  </w14:solidFill>
                </w14:textFill>
              </w:rPr>
              <w:t>表3-2 项目废气产生排放情况一览表</w:t>
            </w:r>
          </w:p>
          <w:tbl>
            <w:tblPr>
              <w:tblStyle w:val="28"/>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565"/>
              <w:gridCol w:w="1085"/>
              <w:gridCol w:w="2696"/>
              <w:gridCol w:w="29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753"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序号</w:t>
                  </w:r>
                </w:p>
              </w:tc>
              <w:tc>
                <w:tcPr>
                  <w:tcW w:w="1565"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废气类别</w:t>
                  </w:r>
                </w:p>
              </w:tc>
              <w:tc>
                <w:tcPr>
                  <w:tcW w:w="1085"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来源</w:t>
                  </w:r>
                </w:p>
              </w:tc>
              <w:tc>
                <w:tcPr>
                  <w:tcW w:w="2696"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污染物种类</w:t>
                  </w:r>
                </w:p>
              </w:tc>
              <w:tc>
                <w:tcPr>
                  <w:tcW w:w="2971"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dxa"/>
                  <w:tcBorders>
                    <w:top w:val="single" w:color="auto" w:sz="12" w:space="0"/>
                  </w:tcBorders>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565" w:type="dxa"/>
                  <w:tcBorders>
                    <w:top w:val="single" w:color="auto" w:sz="12" w:space="0"/>
                  </w:tcBorders>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研发实验室废气</w:t>
                  </w:r>
                </w:p>
              </w:tc>
              <w:tc>
                <w:tcPr>
                  <w:tcW w:w="1085" w:type="dxa"/>
                  <w:tcBorders>
                    <w:top w:val="single" w:color="auto" w:sz="12" w:space="0"/>
                  </w:tcBorders>
                  <w:shd w:val="clear" w:color="auto" w:fill="auto"/>
                  <w:vAlign w:val="center"/>
                </w:tcPr>
                <w:p>
                  <w:pPr>
                    <w:jc w:val="center"/>
                    <w:rPr>
                      <w:color w:val="000000" w:themeColor="text1"/>
                      <w:sz w:val="18"/>
                      <w:szCs w:val="18"/>
                      <w14:textFill>
                        <w14:solidFill>
                          <w14:schemeClr w14:val="tx1"/>
                        </w14:solidFill>
                      </w14:textFill>
                    </w:rPr>
                  </w:pPr>
                  <w:r>
                    <w:rPr>
                      <w:sz w:val="18"/>
                      <w:szCs w:val="18"/>
                    </w:rPr>
                    <w:t>实验室</w:t>
                  </w:r>
                </w:p>
              </w:tc>
              <w:tc>
                <w:tcPr>
                  <w:tcW w:w="2696" w:type="dxa"/>
                  <w:tcBorders>
                    <w:top w:val="single" w:color="auto" w:sz="12" w:space="0"/>
                  </w:tcBorders>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VOCs</w:t>
                  </w:r>
                </w:p>
              </w:tc>
              <w:tc>
                <w:tcPr>
                  <w:tcW w:w="2971" w:type="dxa"/>
                  <w:tcBorders>
                    <w:top w:val="single" w:color="auto" w:sz="12" w:space="0"/>
                  </w:tcBorders>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活性炭吸附+2</w:t>
                  </w:r>
                  <w:r>
                    <w:rPr>
                      <w:rFonts w:hint="eastAsia"/>
                      <w:color w:val="000000" w:themeColor="text1"/>
                      <w:sz w:val="18"/>
                      <w:szCs w:val="18"/>
                      <w:lang w:val="en-US" w:eastAsia="zh-CN"/>
                      <w14:textFill>
                        <w14:solidFill>
                          <w14:schemeClr w14:val="tx1"/>
                        </w14:solidFill>
                      </w14:textFill>
                    </w:rPr>
                    <w:t>8</w:t>
                  </w:r>
                  <w:r>
                    <w:rPr>
                      <w:color w:val="000000" w:themeColor="text1"/>
                      <w:sz w:val="18"/>
                      <w:szCs w:val="18"/>
                      <w14:textFill>
                        <w14:solidFill>
                          <w14:schemeClr w14:val="tx1"/>
                        </w14:solidFill>
                      </w14:textFill>
                    </w:rPr>
                    <w:t>m高排气筒排放</w:t>
                  </w:r>
                </w:p>
              </w:tc>
            </w:tr>
          </w:tbl>
          <w:p>
            <w:pPr>
              <w:pStyle w:val="2"/>
              <w:spacing w:after="0"/>
              <w:ind w:left="0" w:leftChars="0" w:firstLine="0" w:firstLineChars="0"/>
            </w:pPr>
          </w:p>
          <w:tbl>
            <w:tblPr>
              <w:tblStyle w:val="28"/>
              <w:tblW w:w="4464"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4464"/>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464" w:type="dxa"/>
                  <w:tcBorders>
                    <w:top w:val="nil"/>
                    <w:left w:val="nil"/>
                    <w:bottom w:val="nil"/>
                    <w:right w:val="nil"/>
                  </w:tcBorders>
                  <w:vAlign w:val="center"/>
                </w:tcPr>
                <w:p>
                  <w:pPr>
                    <w:jc w:val="center"/>
                    <w:rPr>
                      <w:color w:val="000000" w:themeColor="text1"/>
                      <w:sz w:val="18"/>
                      <w14:textFill>
                        <w14:solidFill>
                          <w14:schemeClr w14:val="tx1"/>
                        </w14:solidFill>
                      </w14:textFill>
                    </w:rPr>
                  </w:pPr>
                  <w:r>
                    <w:drawing>
                      <wp:inline distT="0" distB="0" distL="114300" distR="114300">
                        <wp:extent cx="2520315" cy="1605915"/>
                        <wp:effectExtent l="0" t="0" r="0" b="0"/>
                        <wp:docPr id="1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1"/>
                                <pic:cNvPicPr>
                                  <a:picLocks noChangeAspect="1"/>
                                </pic:cNvPicPr>
                              </pic:nvPicPr>
                              <pic:blipFill>
                                <a:blip r:embed="rId23"/>
                                <a:srcRect l="-94" t="192" r="-94" b="192"/>
                                <a:stretch>
                                  <a:fillRect/>
                                </a:stretch>
                              </pic:blipFill>
                              <pic:spPr>
                                <a:xfrm>
                                  <a:off x="0" y="0"/>
                                  <a:ext cx="2528411" cy="1611046"/>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464" w:type="dxa"/>
                  <w:tcBorders>
                    <w:top w:val="nil"/>
                    <w:left w:val="nil"/>
                    <w:bottom w:val="nil"/>
                    <w:right w:val="nil"/>
                  </w:tcBorders>
                  <w:vAlign w:val="center"/>
                </w:tcPr>
                <w:p>
                  <w:pPr>
                    <w:jc w:val="center"/>
                    <w:rPr>
                      <w:rFonts w:eastAsia="黑体"/>
                      <w:color w:val="000000" w:themeColor="text1"/>
                      <w:sz w:val="18"/>
                      <w:szCs w:val="21"/>
                      <w14:textFill>
                        <w14:solidFill>
                          <w14:schemeClr w14:val="tx1"/>
                        </w14:solidFill>
                      </w14:textFill>
                    </w:rPr>
                  </w:pPr>
                  <w:r>
                    <w:rPr>
                      <w:rFonts w:eastAsia="黑体"/>
                      <w:color w:val="000000" w:themeColor="text1"/>
                      <w:sz w:val="18"/>
                      <w:szCs w:val="21"/>
                      <w14:textFill>
                        <w14:solidFill>
                          <w14:schemeClr w14:val="tx1"/>
                        </w14:solidFill>
                      </w14:textFill>
                    </w:rPr>
                    <w:t>废气处理设施及排放口</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图3-5 废气治理设施图片</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3.2.3噪声</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噪声主要来源于实验设备噪声和空调机组。</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项目仅白天运行，夜间不运行，实验设备均置于实验室内，空调机组置于楼顶，噪声经墙体隔声、距离衰减后排放。</w:t>
            </w:r>
          </w:p>
          <w:p>
            <w:pPr>
              <w:ind w:firstLine="420" w:firstLineChars="200"/>
              <w:jc w:val="center"/>
              <w:rPr>
                <w:rFonts w:eastAsia="黑体"/>
                <w:color w:val="000000" w:themeColor="text1"/>
                <w:szCs w:val="21"/>
                <w14:textFill>
                  <w14:solidFill>
                    <w14:schemeClr w14:val="tx1"/>
                  </w14:solidFill>
                </w14:textFill>
              </w:rPr>
            </w:pPr>
            <w:r>
              <w:rPr>
                <w:rFonts w:eastAsia="黑体"/>
                <w:color w:val="000000" w:themeColor="text1"/>
                <w:szCs w:val="21"/>
                <w14:textFill>
                  <w14:solidFill>
                    <w14:schemeClr w14:val="tx1"/>
                  </w14:solidFill>
                </w14:textFill>
              </w:rPr>
              <w:t>表3-3 项目噪声产生排放情况一览表</w:t>
            </w:r>
          </w:p>
          <w:tbl>
            <w:tblPr>
              <w:tblStyle w:val="28"/>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262"/>
              <w:gridCol w:w="1768"/>
              <w:gridCol w:w="778"/>
              <w:gridCol w:w="188"/>
              <w:gridCol w:w="4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序号</w:t>
                  </w:r>
                </w:p>
              </w:tc>
              <w:tc>
                <w:tcPr>
                  <w:tcW w:w="1262"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噪声来源</w:t>
                  </w:r>
                </w:p>
              </w:tc>
              <w:tc>
                <w:tcPr>
                  <w:tcW w:w="1768"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位置</w:t>
                  </w:r>
                </w:p>
              </w:tc>
              <w:tc>
                <w:tcPr>
                  <w:tcW w:w="966" w:type="dxa"/>
                  <w:gridSpan w:val="2"/>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运行方式</w:t>
                  </w:r>
                </w:p>
              </w:tc>
              <w:tc>
                <w:tcPr>
                  <w:tcW w:w="4419" w:type="dxa"/>
                  <w:tcBorders>
                    <w:top w:val="single" w:color="auto" w:sz="12" w:space="0"/>
                    <w:bottom w:val="single" w:color="auto" w:sz="12" w:space="0"/>
                  </w:tcBorders>
                  <w:shd w:val="clear" w:color="auto" w:fill="auto"/>
                  <w:vAlign w:val="center"/>
                </w:tcPr>
                <w:p>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56"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262"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设备噪声</w:t>
                  </w:r>
                </w:p>
              </w:tc>
              <w:tc>
                <w:tcPr>
                  <w:tcW w:w="1768"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实验室内</w:t>
                  </w:r>
                </w:p>
              </w:tc>
              <w:tc>
                <w:tcPr>
                  <w:tcW w:w="966" w:type="dxa"/>
                  <w:gridSpan w:val="2"/>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间断</w:t>
                  </w:r>
                </w:p>
              </w:tc>
              <w:tc>
                <w:tcPr>
                  <w:tcW w:w="4419"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墙体隔声、距离衰减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656"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262"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空调机组</w:t>
                  </w:r>
                </w:p>
              </w:tc>
              <w:tc>
                <w:tcPr>
                  <w:tcW w:w="1768" w:type="dxa"/>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楼顶</w:t>
                  </w:r>
                </w:p>
              </w:tc>
              <w:tc>
                <w:tcPr>
                  <w:tcW w:w="966" w:type="dxa"/>
                  <w:gridSpan w:val="2"/>
                  <w:shd w:val="clear" w:color="auto" w:fill="auto"/>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间断</w:t>
                  </w:r>
                </w:p>
              </w:tc>
              <w:tc>
                <w:tcPr>
                  <w:tcW w:w="4419" w:type="dxa"/>
                  <w:shd w:val="clear" w:color="auto" w:fill="auto"/>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高空</w:t>
                  </w:r>
                  <w:r>
                    <w:rPr>
                      <w:color w:val="000000" w:themeColor="text1"/>
                      <w:sz w:val="18"/>
                      <w:szCs w:val="18"/>
                      <w14:textFill>
                        <w14:solidFill>
                          <w14:schemeClr w14:val="tx1"/>
                        </w14:solidFill>
                      </w14:textFill>
                    </w:rPr>
                    <w:t>、距离衰减</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c>
                <w:tcPr>
                  <w:tcW w:w="4464" w:type="dxa"/>
                  <w:gridSpan w:val="4"/>
                  <w:tcBorders>
                    <w:top w:val="single" w:color="auto" w:sz="12" w:space="0"/>
                    <w:left w:val="nil"/>
                    <w:bottom w:val="nil"/>
                    <w:right w:val="nil"/>
                  </w:tcBorders>
                  <w:vAlign w:val="center"/>
                </w:tcPr>
                <w:p>
                  <w:pPr>
                    <w:jc w:val="center"/>
                    <w:rPr>
                      <w:color w:val="000000" w:themeColor="text1"/>
                      <w:sz w:val="18"/>
                      <w14:textFill>
                        <w14:solidFill>
                          <w14:schemeClr w14:val="tx1"/>
                        </w14:solidFill>
                      </w14:textFill>
                    </w:rPr>
                  </w:pPr>
                  <w:r>
                    <w:drawing>
                      <wp:inline distT="0" distB="0" distL="114300" distR="114300">
                        <wp:extent cx="2155190" cy="1461770"/>
                        <wp:effectExtent l="0" t="0" r="16510" b="5080"/>
                        <wp:docPr id="1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pic:cNvPicPr>
                                  <a:picLocks noChangeAspect="1"/>
                                </pic:cNvPicPr>
                              </pic:nvPicPr>
                              <pic:blipFill>
                                <a:blip r:embed="rId24"/>
                                <a:srcRect l="111" t="-756" r="111" b="-756"/>
                                <a:stretch>
                                  <a:fillRect/>
                                </a:stretch>
                              </pic:blipFill>
                              <pic:spPr>
                                <a:xfrm>
                                  <a:off x="0" y="0"/>
                                  <a:ext cx="2155190" cy="1461770"/>
                                </a:xfrm>
                                <a:prstGeom prst="rect">
                                  <a:avLst/>
                                </a:prstGeom>
                                <a:noFill/>
                                <a:ln>
                                  <a:noFill/>
                                </a:ln>
                              </pic:spPr>
                            </pic:pic>
                          </a:graphicData>
                        </a:graphic>
                      </wp:inline>
                    </w:drawing>
                  </w:r>
                </w:p>
              </w:tc>
              <w:tc>
                <w:tcPr>
                  <w:tcW w:w="4607" w:type="dxa"/>
                  <w:gridSpan w:val="2"/>
                  <w:tcBorders>
                    <w:top w:val="single" w:color="auto" w:sz="12" w:space="0"/>
                    <w:left w:val="nil"/>
                    <w:bottom w:val="nil"/>
                    <w:right w:val="nil"/>
                  </w:tcBorders>
                </w:tcPr>
                <w:p>
                  <w:pPr>
                    <w:jc w:val="center"/>
                    <w:rPr>
                      <w:rFonts w:eastAsia="黑体"/>
                      <w:color w:val="000000" w:themeColor="text1"/>
                      <w:sz w:val="18"/>
                      <w:szCs w:val="21"/>
                      <w14:textFill>
                        <w14:solidFill>
                          <w14:schemeClr w14:val="tx1"/>
                        </w14:solidFill>
                      </w14:textFill>
                    </w:rPr>
                  </w:pPr>
                  <w:r>
                    <w:rPr>
                      <w:color w:val="000000" w:themeColor="text1"/>
                      <w:sz w:val="1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294640</wp:posOffset>
                            </wp:positionH>
                            <wp:positionV relativeFrom="paragraph">
                              <wp:posOffset>1121410</wp:posOffset>
                            </wp:positionV>
                            <wp:extent cx="988060" cy="3759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88060" cy="375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olor w:val="FF0000"/>
                                            <w:sz w:val="24"/>
                                          </w:rPr>
                                        </w:pPr>
                                        <w:r>
                                          <w:rPr>
                                            <w:rFonts w:hint="eastAsia" w:asciiTheme="minorEastAsia" w:hAnsiTheme="minorEastAsia" w:eastAsiaTheme="minorEastAsia"/>
                                            <w:color w:val="FF0000"/>
                                            <w:sz w:val="24"/>
                                          </w:rPr>
                                          <w:t>固定与减震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pt;margin-top:88.3pt;height:29.6pt;width:77.8pt;z-index:251660288;mso-width-relative:page;mso-height-relative:page;" filled="f" stroked="f" coordsize="21600,21600" o:gfxdata="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yfe7dsAAAAKAQAADwAAAAAAAAABACAA&#10;AAAiAAAAZHJzL2Rvd25yZXYueG1sUEsBAhQAFAAAAAgAh07iQB9gVShDAgAAcwQAAA4AAAAAAAAA&#10;AQAgAAAAKgEAAGRycy9lMm9Eb2MueG1sUEsFBgAAAAAGAAYAWQEAAN8FAAAAAA==&#10;">
                            <v:fill on="f" focussize="0,0"/>
                            <v:stroke on="f" weight="0.5pt"/>
                            <v:imagedata o:title=""/>
                            <o:lock v:ext="edit" aspectratio="f"/>
                            <v:textbox>
                              <w:txbxContent>
                                <w:p>
                                  <w:pPr>
                                    <w:rPr>
                                      <w:rFonts w:asciiTheme="minorEastAsia" w:hAnsiTheme="minorEastAsia" w:eastAsiaTheme="minorEastAsia"/>
                                      <w:color w:val="FF0000"/>
                                      <w:sz w:val="24"/>
                                    </w:rPr>
                                  </w:pPr>
                                  <w:r>
                                    <w:rPr>
                                      <w:rFonts w:hint="eastAsia" w:asciiTheme="minorEastAsia" w:hAnsiTheme="minorEastAsia" w:eastAsiaTheme="minorEastAsia"/>
                                      <w:color w:val="FF0000"/>
                                      <w:sz w:val="24"/>
                                    </w:rPr>
                                    <w:t>固定与减震</w:t>
                                  </w:r>
                                </w:p>
                              </w:txbxContent>
                            </v:textbox>
                          </v:shape>
                        </w:pict>
                      </mc:Fallback>
                    </mc:AlternateContent>
                  </w:r>
                  <w:r>
                    <w:drawing>
                      <wp:inline distT="0" distB="0" distL="114300" distR="114300">
                        <wp:extent cx="2160270" cy="1445895"/>
                        <wp:effectExtent l="0" t="0" r="11430" b="1905"/>
                        <wp:docPr id="1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
                                <pic:cNvPicPr>
                                  <a:picLocks noChangeAspect="1"/>
                                </pic:cNvPicPr>
                              </pic:nvPicPr>
                              <pic:blipFill>
                                <a:blip r:embed="rId25"/>
                                <a:srcRect l="-21" t="-205" r="8" b="-205"/>
                                <a:stretch>
                                  <a:fillRect/>
                                </a:stretch>
                              </pic:blipFill>
                              <pic:spPr>
                                <a:xfrm>
                                  <a:off x="0" y="0"/>
                                  <a:ext cx="2160270" cy="1445895"/>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c>
                <w:tcPr>
                  <w:tcW w:w="4464" w:type="dxa"/>
                  <w:gridSpan w:val="4"/>
                  <w:tcBorders>
                    <w:top w:val="nil"/>
                    <w:left w:val="nil"/>
                    <w:bottom w:val="nil"/>
                    <w:right w:val="nil"/>
                  </w:tcBorders>
                </w:tcPr>
                <w:p>
                  <w:pPr>
                    <w:jc w:val="center"/>
                    <w:rPr>
                      <w:color w:val="000000" w:themeColor="text1"/>
                      <w:sz w:val="18"/>
                      <w:szCs w:val="21"/>
                      <w14:textFill>
                        <w14:solidFill>
                          <w14:schemeClr w14:val="tx1"/>
                        </w14:solidFill>
                      </w14:textFill>
                    </w:rPr>
                  </w:pPr>
                  <w:r>
                    <w:rPr>
                      <w:rFonts w:eastAsia="黑体"/>
                      <w:color w:val="000000" w:themeColor="text1"/>
                      <w:sz w:val="18"/>
                      <w:szCs w:val="21"/>
                      <w14:textFill>
                        <w14:solidFill>
                          <w14:schemeClr w14:val="tx1"/>
                        </w14:solidFill>
                      </w14:textFill>
                    </w:rPr>
                    <w:t>设备位于实验室内</w:t>
                  </w:r>
                </w:p>
              </w:tc>
              <w:tc>
                <w:tcPr>
                  <w:tcW w:w="4607" w:type="dxa"/>
                  <w:gridSpan w:val="2"/>
                  <w:tcBorders>
                    <w:top w:val="nil"/>
                    <w:left w:val="nil"/>
                    <w:bottom w:val="nil"/>
                    <w:right w:val="nil"/>
                  </w:tcBorders>
                </w:tcPr>
                <w:p>
                  <w:pPr>
                    <w:jc w:val="center"/>
                    <w:rPr>
                      <w:rFonts w:eastAsia="黑体"/>
                      <w:color w:val="000000" w:themeColor="text1"/>
                      <w:sz w:val="18"/>
                      <w:szCs w:val="21"/>
                      <w14:textFill>
                        <w14:solidFill>
                          <w14:schemeClr w14:val="tx1"/>
                        </w14:solidFill>
                      </w14:textFill>
                    </w:rPr>
                  </w:pPr>
                  <w:r>
                    <w:rPr>
                      <w:rFonts w:eastAsia="黑体"/>
                      <w:color w:val="000000" w:themeColor="text1"/>
                      <w:sz w:val="18"/>
                      <w:szCs w:val="21"/>
                      <w14:textFill>
                        <w14:solidFill>
                          <w14:schemeClr w14:val="tx1"/>
                        </w14:solidFill>
                      </w14:textFill>
                    </w:rPr>
                    <w:t>空调机组楼顶固定于减震</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图3-6 噪声治理设施图片</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3.2.4固体废物</w:t>
            </w:r>
          </w:p>
          <w:p>
            <w:pPr>
              <w:spacing w:line="360" w:lineRule="auto"/>
              <w:ind w:firstLine="480" w:firstLineChars="200"/>
              <w:rPr>
                <w:sz w:val="24"/>
              </w:rPr>
            </w:pPr>
            <w:r>
              <w:rPr>
                <w:rFonts w:hint="eastAsia"/>
                <w:sz w:val="24"/>
              </w:rPr>
              <w:t>项目</w:t>
            </w:r>
            <w:r>
              <w:rPr>
                <w:sz w:val="24"/>
              </w:rPr>
              <w:t>产生的固体废物主要为生活垃圾、一般工业固体废物和危险废物。其中生活垃圾交由环卫部门清运处理，一般工业固体废物主要包括生产组装过程中产生的废复合包装材料、纯水制备设备里面的滤芯等，废复合包装材料交由环卫部门清运处理，纯水制备设备里面的滤芯由纯水制备系统厂家回收，危险废物主要为实验废液（含废培养液、废缓冲液及残液等）、废实验器具和废弃的试剂包装容器及废活性炭等，均暂存于危废间，定期委托华新环境工程（武穴）有限公司安全处置。</w:t>
            </w:r>
          </w:p>
          <w:p>
            <w:pPr>
              <w:pStyle w:val="122"/>
              <w:rPr>
                <w:b w:val="0"/>
                <w:sz w:val="21"/>
                <w:szCs w:val="21"/>
              </w:rPr>
            </w:pPr>
            <w:bookmarkStart w:id="7" w:name="_Ref50572346"/>
            <w:r>
              <w:rPr>
                <w:b w:val="0"/>
                <w:sz w:val="21"/>
                <w:szCs w:val="21"/>
              </w:rPr>
              <w:t>表3-4项目固废种类、排放量及处置去向一览表</w:t>
            </w:r>
            <w:bookmarkEnd w:id="7"/>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939"/>
              <w:gridCol w:w="746"/>
              <w:gridCol w:w="576"/>
              <w:gridCol w:w="441"/>
              <w:gridCol w:w="1223"/>
              <w:gridCol w:w="1219"/>
              <w:gridCol w:w="1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19" w:type="dxa"/>
                  <w:gridSpan w:val="2"/>
                  <w:tcBorders>
                    <w:top w:val="single" w:color="auto" w:sz="12" w:space="0"/>
                    <w:bottom w:val="single" w:color="auto" w:sz="12" w:space="0"/>
                  </w:tcBorders>
                  <w:vAlign w:val="center"/>
                </w:tcPr>
                <w:p>
                  <w:pPr>
                    <w:adjustRightInd w:val="0"/>
                    <w:snapToGrid w:val="0"/>
                    <w:jc w:val="center"/>
                    <w:rPr>
                      <w:b/>
                      <w:bCs/>
                      <w:sz w:val="18"/>
                      <w:szCs w:val="18"/>
                    </w:rPr>
                  </w:pPr>
                  <w:r>
                    <w:rPr>
                      <w:b/>
                      <w:bCs/>
                      <w:sz w:val="18"/>
                      <w:szCs w:val="18"/>
                    </w:rPr>
                    <w:t>废物类别</w:t>
                  </w:r>
                </w:p>
              </w:tc>
              <w:tc>
                <w:tcPr>
                  <w:tcW w:w="746" w:type="dxa"/>
                  <w:tcBorders>
                    <w:top w:val="single" w:color="auto" w:sz="12" w:space="0"/>
                    <w:bottom w:val="single" w:color="auto" w:sz="12" w:space="0"/>
                  </w:tcBorders>
                  <w:vAlign w:val="center"/>
                </w:tcPr>
                <w:p>
                  <w:pPr>
                    <w:adjustRightInd w:val="0"/>
                    <w:snapToGrid w:val="0"/>
                    <w:jc w:val="center"/>
                    <w:rPr>
                      <w:b/>
                      <w:bCs/>
                      <w:sz w:val="18"/>
                      <w:szCs w:val="18"/>
                    </w:rPr>
                  </w:pPr>
                  <w:r>
                    <w:rPr>
                      <w:b/>
                      <w:bCs/>
                      <w:sz w:val="18"/>
                      <w:szCs w:val="18"/>
                    </w:rPr>
                    <w:t>类别代码</w:t>
                  </w:r>
                </w:p>
              </w:tc>
              <w:tc>
                <w:tcPr>
                  <w:tcW w:w="1017" w:type="dxa"/>
                  <w:gridSpan w:val="2"/>
                  <w:tcBorders>
                    <w:top w:val="single" w:color="auto" w:sz="12" w:space="0"/>
                    <w:bottom w:val="single" w:color="auto" w:sz="12" w:space="0"/>
                  </w:tcBorders>
                  <w:vAlign w:val="center"/>
                </w:tcPr>
                <w:p>
                  <w:pPr>
                    <w:adjustRightInd w:val="0"/>
                    <w:snapToGrid w:val="0"/>
                    <w:jc w:val="center"/>
                    <w:rPr>
                      <w:b/>
                      <w:bCs/>
                      <w:sz w:val="18"/>
                      <w:szCs w:val="18"/>
                    </w:rPr>
                  </w:pPr>
                  <w:r>
                    <w:rPr>
                      <w:b/>
                      <w:bCs/>
                      <w:sz w:val="18"/>
                      <w:szCs w:val="18"/>
                    </w:rPr>
                    <w:t>废物代码</w:t>
                  </w:r>
                </w:p>
              </w:tc>
              <w:tc>
                <w:tcPr>
                  <w:tcW w:w="1223" w:type="dxa"/>
                  <w:tcBorders>
                    <w:top w:val="single" w:color="auto" w:sz="12" w:space="0"/>
                    <w:bottom w:val="single" w:color="auto" w:sz="12" w:space="0"/>
                  </w:tcBorders>
                  <w:vAlign w:val="center"/>
                </w:tcPr>
                <w:p>
                  <w:pPr>
                    <w:adjustRightInd w:val="0"/>
                    <w:snapToGrid w:val="0"/>
                    <w:jc w:val="center"/>
                    <w:rPr>
                      <w:b/>
                      <w:bCs/>
                      <w:sz w:val="18"/>
                      <w:szCs w:val="18"/>
                    </w:rPr>
                  </w:pPr>
                  <w:r>
                    <w:rPr>
                      <w:b/>
                      <w:bCs/>
                      <w:sz w:val="18"/>
                      <w:szCs w:val="18"/>
                    </w:rPr>
                    <w:t>产生量（t/a）</w:t>
                  </w:r>
                </w:p>
              </w:tc>
              <w:tc>
                <w:tcPr>
                  <w:tcW w:w="1219" w:type="dxa"/>
                  <w:tcBorders>
                    <w:top w:val="single" w:color="auto" w:sz="12" w:space="0"/>
                    <w:bottom w:val="single" w:color="auto" w:sz="12" w:space="0"/>
                  </w:tcBorders>
                  <w:vAlign w:val="center"/>
                </w:tcPr>
                <w:p>
                  <w:pPr>
                    <w:adjustRightInd w:val="0"/>
                    <w:snapToGrid w:val="0"/>
                    <w:jc w:val="center"/>
                    <w:rPr>
                      <w:b/>
                      <w:bCs/>
                      <w:sz w:val="18"/>
                      <w:szCs w:val="18"/>
                    </w:rPr>
                  </w:pPr>
                  <w:r>
                    <w:rPr>
                      <w:b/>
                      <w:bCs/>
                      <w:sz w:val="18"/>
                      <w:szCs w:val="18"/>
                    </w:rPr>
                    <w:t>排放量（t/a）</w:t>
                  </w:r>
                </w:p>
              </w:tc>
              <w:tc>
                <w:tcPr>
                  <w:tcW w:w="1644" w:type="dxa"/>
                  <w:tcBorders>
                    <w:top w:val="single" w:color="auto" w:sz="12" w:space="0"/>
                    <w:bottom w:val="single" w:color="auto" w:sz="12" w:space="0"/>
                  </w:tcBorders>
                  <w:vAlign w:val="center"/>
                </w:tcPr>
                <w:p>
                  <w:pPr>
                    <w:adjustRightInd w:val="0"/>
                    <w:snapToGrid w:val="0"/>
                    <w:jc w:val="center"/>
                    <w:rPr>
                      <w:b/>
                      <w:bCs/>
                      <w:sz w:val="18"/>
                      <w:szCs w:val="18"/>
                    </w:rPr>
                  </w:pPr>
                  <w:r>
                    <w:rPr>
                      <w:b/>
                      <w:bCs/>
                      <w:sz w:val="18"/>
                      <w:szCs w:val="18"/>
                    </w:rP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vMerge w:val="restart"/>
                  <w:tcBorders>
                    <w:top w:val="single" w:color="auto" w:sz="12" w:space="0"/>
                    <w:right w:val="single" w:color="000000" w:sz="4" w:space="0"/>
                  </w:tcBorders>
                  <w:vAlign w:val="center"/>
                </w:tcPr>
                <w:p>
                  <w:pPr>
                    <w:adjustRightInd w:val="0"/>
                    <w:snapToGrid w:val="0"/>
                    <w:jc w:val="center"/>
                    <w:rPr>
                      <w:sz w:val="18"/>
                      <w:szCs w:val="18"/>
                    </w:rPr>
                  </w:pPr>
                  <w:r>
                    <w:rPr>
                      <w:sz w:val="18"/>
                      <w:szCs w:val="18"/>
                    </w:rPr>
                    <w:t>危险废物</w:t>
                  </w:r>
                </w:p>
              </w:tc>
              <w:tc>
                <w:tcPr>
                  <w:tcW w:w="1939" w:type="dxa"/>
                  <w:tcBorders>
                    <w:top w:val="single" w:color="auto" w:sz="12" w:space="0"/>
                    <w:left w:val="single" w:color="000000" w:sz="4" w:space="0"/>
                    <w:bottom w:val="single" w:color="000000" w:sz="4" w:space="0"/>
                    <w:right w:val="single" w:color="000000" w:sz="4" w:space="0"/>
                  </w:tcBorders>
                  <w:vAlign w:val="center"/>
                </w:tcPr>
                <w:p>
                  <w:pPr>
                    <w:adjustRightInd w:val="0"/>
                    <w:snapToGrid w:val="0"/>
                    <w:ind w:left="-105" w:leftChars="-50" w:right="-105" w:rightChars="-50"/>
                    <w:jc w:val="center"/>
                    <w:rPr>
                      <w:sz w:val="18"/>
                      <w:szCs w:val="18"/>
                    </w:rPr>
                  </w:pPr>
                  <w:r>
                    <w:rPr>
                      <w:sz w:val="18"/>
                      <w:szCs w:val="18"/>
                    </w:rPr>
                    <w:t>实验废液（废培养液、废缓冲液及残液等）</w:t>
                  </w:r>
                </w:p>
              </w:tc>
              <w:tc>
                <w:tcPr>
                  <w:tcW w:w="746" w:type="dxa"/>
                  <w:tcBorders>
                    <w:top w:val="single" w:color="auto" w:sz="12" w:space="0"/>
                    <w:left w:val="single" w:color="000000" w:sz="4" w:space="0"/>
                    <w:bottom w:val="single" w:color="000000" w:sz="4" w:space="0"/>
                    <w:right w:val="single" w:color="000000" w:sz="4" w:space="0"/>
                  </w:tcBorders>
                  <w:vAlign w:val="center"/>
                </w:tcPr>
                <w:p>
                  <w:pPr>
                    <w:adjustRightInd w:val="0"/>
                    <w:snapToGrid w:val="0"/>
                    <w:ind w:left="-105" w:leftChars="-50" w:right="-105" w:rightChars="-50"/>
                    <w:jc w:val="center"/>
                    <w:rPr>
                      <w:sz w:val="18"/>
                      <w:szCs w:val="18"/>
                    </w:rPr>
                  </w:pPr>
                  <w:r>
                    <w:rPr>
                      <w:sz w:val="18"/>
                      <w:szCs w:val="18"/>
                    </w:rPr>
                    <w:t>HW49</w:t>
                  </w:r>
                </w:p>
              </w:tc>
              <w:tc>
                <w:tcPr>
                  <w:tcW w:w="1017" w:type="dxa"/>
                  <w:gridSpan w:val="2"/>
                  <w:tcBorders>
                    <w:top w:val="single" w:color="auto" w:sz="12" w:space="0"/>
                    <w:left w:val="single" w:color="000000" w:sz="4" w:space="0"/>
                    <w:bottom w:val="single" w:color="000000" w:sz="4" w:space="0"/>
                    <w:right w:val="single" w:color="000000" w:sz="4" w:space="0"/>
                  </w:tcBorders>
                  <w:vAlign w:val="center"/>
                </w:tcPr>
                <w:p>
                  <w:pPr>
                    <w:adjustRightInd w:val="0"/>
                    <w:snapToGrid w:val="0"/>
                    <w:ind w:left="-105" w:leftChars="-50" w:right="-105" w:rightChars="-50"/>
                    <w:jc w:val="center"/>
                    <w:rPr>
                      <w:sz w:val="18"/>
                      <w:szCs w:val="18"/>
                    </w:rPr>
                  </w:pPr>
                  <w:r>
                    <w:rPr>
                      <w:sz w:val="18"/>
                      <w:szCs w:val="18"/>
                    </w:rPr>
                    <w:t>900-047-49</w:t>
                  </w:r>
                </w:p>
              </w:tc>
              <w:tc>
                <w:tcPr>
                  <w:tcW w:w="1223" w:type="dxa"/>
                  <w:tcBorders>
                    <w:top w:val="single" w:color="auto" w:sz="12" w:space="0"/>
                    <w:left w:val="single" w:color="000000" w:sz="4" w:space="0"/>
                    <w:bottom w:val="single" w:color="000000" w:sz="4" w:space="0"/>
                  </w:tcBorders>
                  <w:vAlign w:val="center"/>
                </w:tcPr>
                <w:p>
                  <w:pPr>
                    <w:adjustRightInd w:val="0"/>
                    <w:snapToGrid w:val="0"/>
                    <w:jc w:val="center"/>
                    <w:rPr>
                      <w:rFonts w:hint="default" w:eastAsia="宋体"/>
                      <w:sz w:val="18"/>
                      <w:szCs w:val="18"/>
                      <w:lang w:val="en-US" w:eastAsia="zh-CN"/>
                    </w:rPr>
                  </w:pPr>
                  <w:r>
                    <w:rPr>
                      <w:rFonts w:hint="eastAsia"/>
                      <w:sz w:val="18"/>
                      <w:szCs w:val="18"/>
                      <w:lang w:val="en-US" w:eastAsia="zh-CN"/>
                    </w:rPr>
                    <w:t>4*</w:t>
                  </w:r>
                </w:p>
              </w:tc>
              <w:tc>
                <w:tcPr>
                  <w:tcW w:w="1219" w:type="dxa"/>
                  <w:vMerge w:val="restart"/>
                  <w:tcBorders>
                    <w:top w:val="single" w:color="auto" w:sz="12" w:space="0"/>
                  </w:tcBorders>
                  <w:vAlign w:val="center"/>
                </w:tcPr>
                <w:p>
                  <w:pPr>
                    <w:adjustRightInd w:val="0"/>
                    <w:snapToGrid w:val="0"/>
                    <w:jc w:val="center"/>
                    <w:rPr>
                      <w:sz w:val="18"/>
                      <w:szCs w:val="18"/>
                    </w:rPr>
                  </w:pPr>
                  <w:r>
                    <w:rPr>
                      <w:sz w:val="18"/>
                      <w:szCs w:val="18"/>
                    </w:rPr>
                    <w:t>0</w:t>
                  </w:r>
                </w:p>
              </w:tc>
              <w:tc>
                <w:tcPr>
                  <w:tcW w:w="1644" w:type="dxa"/>
                  <w:vMerge w:val="restart"/>
                  <w:tcBorders>
                    <w:top w:val="single" w:color="auto" w:sz="12" w:space="0"/>
                  </w:tcBorders>
                  <w:vAlign w:val="center"/>
                </w:tcPr>
                <w:p>
                  <w:pPr>
                    <w:adjustRightInd w:val="0"/>
                    <w:snapToGrid w:val="0"/>
                    <w:jc w:val="center"/>
                    <w:rPr>
                      <w:sz w:val="18"/>
                      <w:szCs w:val="18"/>
                    </w:rPr>
                  </w:pPr>
                  <w:r>
                    <w:rPr>
                      <w:sz w:val="18"/>
                      <w:szCs w:val="18"/>
                    </w:rPr>
                    <w:t>暂存于危废间，定期委托华新环境工程（武穴）有限公司安全处置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80" w:type="dxa"/>
                  <w:vMerge w:val="continue"/>
                  <w:tcBorders>
                    <w:top w:val="single" w:color="auto" w:sz="12" w:space="0"/>
                    <w:right w:val="single" w:color="000000" w:sz="4" w:space="0"/>
                  </w:tcBorders>
                  <w:vAlign w:val="center"/>
                </w:tcPr>
                <w:p>
                  <w:pPr>
                    <w:adjustRightInd w:val="0"/>
                    <w:snapToGrid w:val="0"/>
                    <w:jc w:val="center"/>
                    <w:rPr>
                      <w:sz w:val="18"/>
                      <w:szCs w:val="18"/>
                    </w:rPr>
                  </w:pPr>
                </w:p>
              </w:tc>
              <w:tc>
                <w:tcPr>
                  <w:tcW w:w="1939" w:type="dxa"/>
                  <w:tcBorders>
                    <w:top w:val="single" w:color="000000" w:sz="4" w:space="0"/>
                    <w:left w:val="single" w:color="000000" w:sz="4" w:space="0"/>
                    <w:bottom w:val="single" w:color="auto" w:sz="4" w:space="0"/>
                    <w:right w:val="single" w:color="000000" w:sz="4" w:space="0"/>
                  </w:tcBorders>
                  <w:vAlign w:val="center"/>
                </w:tcPr>
                <w:p>
                  <w:pPr>
                    <w:adjustRightInd w:val="0"/>
                    <w:snapToGrid w:val="0"/>
                    <w:ind w:left="-105" w:leftChars="-50" w:right="-105" w:rightChars="-50"/>
                    <w:jc w:val="center"/>
                    <w:rPr>
                      <w:sz w:val="18"/>
                      <w:szCs w:val="18"/>
                    </w:rPr>
                  </w:pPr>
                  <w:r>
                    <w:rPr>
                      <w:sz w:val="18"/>
                      <w:szCs w:val="18"/>
                    </w:rPr>
                    <w:t>废实验器具和废弃的试剂包装容器</w:t>
                  </w:r>
                </w:p>
              </w:tc>
              <w:tc>
                <w:tcPr>
                  <w:tcW w:w="746" w:type="dxa"/>
                  <w:tcBorders>
                    <w:top w:val="single" w:color="000000" w:sz="4" w:space="0"/>
                    <w:left w:val="single" w:color="000000" w:sz="4" w:space="0"/>
                    <w:bottom w:val="single" w:color="auto" w:sz="4" w:space="0"/>
                    <w:right w:val="single" w:color="000000" w:sz="4" w:space="0"/>
                  </w:tcBorders>
                  <w:vAlign w:val="center"/>
                </w:tcPr>
                <w:p>
                  <w:pPr>
                    <w:adjustRightInd w:val="0"/>
                    <w:snapToGrid w:val="0"/>
                    <w:ind w:left="-105" w:leftChars="-50" w:right="-105" w:rightChars="-50"/>
                    <w:jc w:val="center"/>
                    <w:rPr>
                      <w:sz w:val="18"/>
                      <w:szCs w:val="18"/>
                    </w:rPr>
                  </w:pPr>
                  <w:r>
                    <w:rPr>
                      <w:sz w:val="18"/>
                      <w:szCs w:val="18"/>
                    </w:rPr>
                    <w:t>HW49</w:t>
                  </w:r>
                </w:p>
              </w:tc>
              <w:tc>
                <w:tcPr>
                  <w:tcW w:w="1017" w:type="dxa"/>
                  <w:gridSpan w:val="2"/>
                  <w:tcBorders>
                    <w:top w:val="single" w:color="000000" w:sz="4" w:space="0"/>
                    <w:left w:val="single" w:color="000000" w:sz="4" w:space="0"/>
                    <w:bottom w:val="single" w:color="auto" w:sz="4" w:space="0"/>
                    <w:right w:val="single" w:color="000000" w:sz="4" w:space="0"/>
                  </w:tcBorders>
                  <w:vAlign w:val="center"/>
                </w:tcPr>
                <w:p>
                  <w:pPr>
                    <w:adjustRightInd w:val="0"/>
                    <w:snapToGrid w:val="0"/>
                    <w:ind w:left="-105" w:leftChars="-50" w:right="-105" w:rightChars="-50"/>
                    <w:jc w:val="center"/>
                    <w:rPr>
                      <w:sz w:val="18"/>
                      <w:szCs w:val="18"/>
                    </w:rPr>
                  </w:pPr>
                  <w:r>
                    <w:rPr>
                      <w:sz w:val="18"/>
                      <w:szCs w:val="18"/>
                    </w:rPr>
                    <w:t>900-04</w:t>
                  </w:r>
                  <w:r>
                    <w:rPr>
                      <w:rFonts w:hint="eastAsia"/>
                      <w:sz w:val="18"/>
                      <w:szCs w:val="18"/>
                      <w:lang w:val="en-US" w:eastAsia="zh-CN"/>
                    </w:rPr>
                    <w:t>1</w:t>
                  </w:r>
                  <w:r>
                    <w:rPr>
                      <w:sz w:val="18"/>
                      <w:szCs w:val="18"/>
                    </w:rPr>
                    <w:t>-49</w:t>
                  </w:r>
                </w:p>
              </w:tc>
              <w:tc>
                <w:tcPr>
                  <w:tcW w:w="1223" w:type="dxa"/>
                  <w:tcBorders>
                    <w:top w:val="single" w:color="000000" w:sz="4" w:space="0"/>
                    <w:left w:val="single" w:color="000000" w:sz="4" w:space="0"/>
                    <w:bottom w:val="single" w:color="auto" w:sz="4" w:space="0"/>
                  </w:tcBorders>
                  <w:vAlign w:val="center"/>
                </w:tcPr>
                <w:p>
                  <w:pPr>
                    <w:adjustRightInd w:val="0"/>
                    <w:snapToGrid w:val="0"/>
                    <w:jc w:val="center"/>
                    <w:rPr>
                      <w:rFonts w:hint="default" w:eastAsia="宋体"/>
                      <w:sz w:val="18"/>
                      <w:szCs w:val="18"/>
                      <w:lang w:val="en-US" w:eastAsia="zh-CN"/>
                    </w:rPr>
                  </w:pPr>
                  <w:r>
                    <w:rPr>
                      <w:rFonts w:hint="eastAsia"/>
                      <w:sz w:val="18"/>
                      <w:szCs w:val="18"/>
                      <w:lang w:val="en-US" w:eastAsia="zh-CN"/>
                    </w:rPr>
                    <w:t>3*</w:t>
                  </w:r>
                </w:p>
              </w:tc>
              <w:tc>
                <w:tcPr>
                  <w:tcW w:w="1219" w:type="dxa"/>
                  <w:vMerge w:val="continue"/>
                  <w:tcBorders>
                    <w:top w:val="single" w:color="auto" w:sz="12" w:space="0"/>
                  </w:tcBorders>
                  <w:vAlign w:val="center"/>
                </w:tcPr>
                <w:p>
                  <w:pPr>
                    <w:adjustRightInd w:val="0"/>
                    <w:snapToGrid w:val="0"/>
                    <w:jc w:val="center"/>
                    <w:rPr>
                      <w:sz w:val="18"/>
                      <w:szCs w:val="18"/>
                    </w:rPr>
                  </w:pPr>
                </w:p>
              </w:tc>
              <w:tc>
                <w:tcPr>
                  <w:tcW w:w="1644" w:type="dxa"/>
                  <w:vMerge w:val="continue"/>
                  <w:tcBorders>
                    <w:top w:val="single" w:color="auto" w:sz="12" w:space="0"/>
                  </w:tcBorders>
                  <w:vAlign w:val="center"/>
                </w:tcPr>
                <w:p>
                  <w:pPr>
                    <w:adjustRightInd w:val="0"/>
                    <w:snapToGrid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vMerge w:val="continue"/>
                  <w:vAlign w:val="center"/>
                </w:tcPr>
                <w:p>
                  <w:pPr>
                    <w:adjustRightInd w:val="0"/>
                    <w:snapToGrid w:val="0"/>
                    <w:jc w:val="center"/>
                    <w:rPr>
                      <w:sz w:val="18"/>
                      <w:szCs w:val="18"/>
                    </w:rPr>
                  </w:pPr>
                </w:p>
              </w:tc>
              <w:tc>
                <w:tcPr>
                  <w:tcW w:w="1939" w:type="dxa"/>
                  <w:tcBorders>
                    <w:top w:val="single" w:color="auto" w:sz="4" w:space="0"/>
                  </w:tcBorders>
                  <w:vAlign w:val="center"/>
                </w:tcPr>
                <w:p>
                  <w:pPr>
                    <w:adjustRightInd w:val="0"/>
                    <w:snapToGrid w:val="0"/>
                    <w:ind w:left="-105" w:leftChars="-50" w:right="-105" w:rightChars="-50"/>
                    <w:jc w:val="center"/>
                    <w:rPr>
                      <w:sz w:val="18"/>
                      <w:szCs w:val="18"/>
                    </w:rPr>
                  </w:pPr>
                  <w:r>
                    <w:rPr>
                      <w:sz w:val="18"/>
                      <w:szCs w:val="18"/>
                    </w:rPr>
                    <w:t>废活性炭</w:t>
                  </w:r>
                </w:p>
              </w:tc>
              <w:tc>
                <w:tcPr>
                  <w:tcW w:w="746" w:type="dxa"/>
                  <w:tcBorders>
                    <w:top w:val="single" w:color="auto" w:sz="4" w:space="0"/>
                  </w:tcBorders>
                  <w:vAlign w:val="center"/>
                </w:tcPr>
                <w:p>
                  <w:pPr>
                    <w:adjustRightInd w:val="0"/>
                    <w:snapToGrid w:val="0"/>
                    <w:ind w:left="-105" w:leftChars="-50" w:right="-105" w:rightChars="-50"/>
                    <w:jc w:val="center"/>
                    <w:rPr>
                      <w:sz w:val="18"/>
                      <w:szCs w:val="18"/>
                    </w:rPr>
                  </w:pPr>
                  <w:r>
                    <w:rPr>
                      <w:sz w:val="18"/>
                      <w:szCs w:val="18"/>
                    </w:rPr>
                    <w:t>HW49</w:t>
                  </w:r>
                </w:p>
              </w:tc>
              <w:tc>
                <w:tcPr>
                  <w:tcW w:w="1017" w:type="dxa"/>
                  <w:gridSpan w:val="2"/>
                  <w:tcBorders>
                    <w:top w:val="single" w:color="auto" w:sz="4" w:space="0"/>
                  </w:tcBorders>
                  <w:vAlign w:val="center"/>
                </w:tcPr>
                <w:p>
                  <w:pPr>
                    <w:adjustRightInd w:val="0"/>
                    <w:snapToGrid w:val="0"/>
                    <w:ind w:left="-105" w:leftChars="-50" w:right="-105" w:rightChars="-50"/>
                    <w:jc w:val="center"/>
                    <w:rPr>
                      <w:sz w:val="18"/>
                      <w:szCs w:val="18"/>
                    </w:rPr>
                  </w:pPr>
                  <w:r>
                    <w:rPr>
                      <w:sz w:val="18"/>
                      <w:szCs w:val="18"/>
                    </w:rPr>
                    <w:t>900-047-49</w:t>
                  </w:r>
                </w:p>
              </w:tc>
              <w:tc>
                <w:tcPr>
                  <w:tcW w:w="1223" w:type="dxa"/>
                  <w:tcBorders>
                    <w:top w:val="single" w:color="auto" w:sz="4" w:space="0"/>
                  </w:tcBorders>
                  <w:vAlign w:val="center"/>
                </w:tcPr>
                <w:p>
                  <w:pPr>
                    <w:adjustRightInd w:val="0"/>
                    <w:snapToGrid w:val="0"/>
                    <w:jc w:val="center"/>
                    <w:rPr>
                      <w:sz w:val="18"/>
                      <w:szCs w:val="18"/>
                    </w:rPr>
                  </w:pPr>
                  <w:r>
                    <w:rPr>
                      <w:sz w:val="18"/>
                      <w:szCs w:val="18"/>
                    </w:rPr>
                    <w:t>0.2</w:t>
                  </w:r>
                </w:p>
              </w:tc>
              <w:tc>
                <w:tcPr>
                  <w:tcW w:w="1219" w:type="dxa"/>
                  <w:vMerge w:val="continue"/>
                  <w:vAlign w:val="center"/>
                </w:tcPr>
                <w:p>
                  <w:pPr>
                    <w:adjustRightInd w:val="0"/>
                    <w:snapToGrid w:val="0"/>
                    <w:jc w:val="center"/>
                    <w:rPr>
                      <w:sz w:val="18"/>
                      <w:szCs w:val="18"/>
                    </w:rPr>
                  </w:pPr>
                </w:p>
              </w:tc>
              <w:tc>
                <w:tcPr>
                  <w:tcW w:w="1644" w:type="dxa"/>
                  <w:vMerge w:val="continue"/>
                  <w:vAlign w:val="center"/>
                </w:tcPr>
                <w:p>
                  <w:pPr>
                    <w:adjustRightInd w:val="0"/>
                    <w:snapToGrid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80" w:type="dxa"/>
                  <w:vMerge w:val="restart"/>
                  <w:vAlign w:val="center"/>
                </w:tcPr>
                <w:p>
                  <w:pPr>
                    <w:adjustRightInd w:val="0"/>
                    <w:snapToGrid w:val="0"/>
                    <w:ind w:left="-105" w:leftChars="-50" w:right="-105" w:rightChars="-50"/>
                    <w:jc w:val="center"/>
                    <w:rPr>
                      <w:sz w:val="18"/>
                      <w:szCs w:val="18"/>
                    </w:rPr>
                  </w:pPr>
                  <w:r>
                    <w:rPr>
                      <w:sz w:val="18"/>
                      <w:szCs w:val="18"/>
                    </w:rPr>
                    <w:t>一般工业固废</w:t>
                  </w:r>
                </w:p>
              </w:tc>
              <w:tc>
                <w:tcPr>
                  <w:tcW w:w="1939" w:type="dxa"/>
                  <w:vAlign w:val="center"/>
                </w:tcPr>
                <w:p>
                  <w:pPr>
                    <w:adjustRightInd w:val="0"/>
                    <w:snapToGrid w:val="0"/>
                    <w:ind w:left="-105" w:leftChars="-50" w:right="-105" w:rightChars="-50"/>
                    <w:jc w:val="center"/>
                    <w:rPr>
                      <w:sz w:val="18"/>
                      <w:szCs w:val="18"/>
                    </w:rPr>
                  </w:pPr>
                  <w:r>
                    <w:rPr>
                      <w:sz w:val="18"/>
                      <w:szCs w:val="18"/>
                    </w:rPr>
                    <w:t>纯水制备产生的废滤芯</w:t>
                  </w:r>
                </w:p>
              </w:tc>
              <w:tc>
                <w:tcPr>
                  <w:tcW w:w="746" w:type="dxa"/>
                  <w:vAlign w:val="center"/>
                </w:tcPr>
                <w:p>
                  <w:pPr>
                    <w:adjustRightInd w:val="0"/>
                    <w:snapToGrid w:val="0"/>
                    <w:jc w:val="center"/>
                    <w:rPr>
                      <w:sz w:val="18"/>
                      <w:szCs w:val="18"/>
                    </w:rPr>
                  </w:pPr>
                  <w:r>
                    <w:rPr>
                      <w:sz w:val="18"/>
                      <w:szCs w:val="18"/>
                    </w:rPr>
                    <w:t>/</w:t>
                  </w:r>
                </w:p>
              </w:tc>
              <w:tc>
                <w:tcPr>
                  <w:tcW w:w="1017" w:type="dxa"/>
                  <w:gridSpan w:val="2"/>
                  <w:vAlign w:val="center"/>
                </w:tcPr>
                <w:p>
                  <w:pPr>
                    <w:adjustRightInd w:val="0"/>
                    <w:snapToGrid w:val="0"/>
                    <w:ind w:left="-105" w:leftChars="-50" w:right="-105" w:rightChars="-50"/>
                    <w:jc w:val="center"/>
                    <w:rPr>
                      <w:sz w:val="18"/>
                      <w:szCs w:val="18"/>
                    </w:rPr>
                  </w:pPr>
                  <w:r>
                    <w:rPr>
                      <w:sz w:val="18"/>
                      <w:szCs w:val="18"/>
                    </w:rPr>
                    <w:t>/</w:t>
                  </w:r>
                </w:p>
              </w:tc>
              <w:tc>
                <w:tcPr>
                  <w:tcW w:w="1223" w:type="dxa"/>
                  <w:vAlign w:val="center"/>
                </w:tcPr>
                <w:p>
                  <w:pPr>
                    <w:adjustRightInd w:val="0"/>
                    <w:snapToGrid w:val="0"/>
                    <w:jc w:val="center"/>
                    <w:rPr>
                      <w:sz w:val="18"/>
                      <w:szCs w:val="18"/>
                    </w:rPr>
                  </w:pPr>
                  <w:r>
                    <w:rPr>
                      <w:sz w:val="18"/>
                      <w:szCs w:val="18"/>
                    </w:rPr>
                    <w:t>0.2</w:t>
                  </w:r>
                </w:p>
              </w:tc>
              <w:tc>
                <w:tcPr>
                  <w:tcW w:w="1219" w:type="dxa"/>
                  <w:vAlign w:val="center"/>
                </w:tcPr>
                <w:p>
                  <w:pPr>
                    <w:adjustRightInd w:val="0"/>
                    <w:snapToGrid w:val="0"/>
                    <w:jc w:val="center"/>
                    <w:rPr>
                      <w:sz w:val="18"/>
                      <w:szCs w:val="18"/>
                    </w:rPr>
                  </w:pPr>
                  <w:r>
                    <w:rPr>
                      <w:sz w:val="18"/>
                      <w:szCs w:val="18"/>
                    </w:rPr>
                    <w:t>0</w:t>
                  </w:r>
                </w:p>
              </w:tc>
              <w:tc>
                <w:tcPr>
                  <w:tcW w:w="1644" w:type="dxa"/>
                  <w:vAlign w:val="center"/>
                </w:tcPr>
                <w:p>
                  <w:pPr>
                    <w:adjustRightInd w:val="0"/>
                    <w:snapToGrid w:val="0"/>
                    <w:jc w:val="center"/>
                    <w:rPr>
                      <w:sz w:val="18"/>
                      <w:szCs w:val="18"/>
                    </w:rPr>
                  </w:pPr>
                  <w:r>
                    <w:rPr>
                      <w:sz w:val="18"/>
                      <w:szCs w:val="18"/>
                    </w:rPr>
                    <w:t>由纯水制备系统厂家回收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80" w:type="dxa"/>
                  <w:vMerge w:val="continue"/>
                  <w:vAlign w:val="center"/>
                </w:tcPr>
                <w:p>
                  <w:pPr>
                    <w:adjustRightInd w:val="0"/>
                    <w:snapToGrid w:val="0"/>
                    <w:ind w:left="-105" w:leftChars="-50" w:right="-105" w:rightChars="-50"/>
                    <w:jc w:val="center"/>
                    <w:rPr>
                      <w:sz w:val="18"/>
                      <w:szCs w:val="18"/>
                    </w:rPr>
                  </w:pPr>
                </w:p>
              </w:tc>
              <w:tc>
                <w:tcPr>
                  <w:tcW w:w="1939" w:type="dxa"/>
                  <w:vAlign w:val="center"/>
                </w:tcPr>
                <w:p>
                  <w:pPr>
                    <w:adjustRightInd w:val="0"/>
                    <w:snapToGrid w:val="0"/>
                    <w:ind w:left="-105" w:leftChars="-50" w:right="-105" w:rightChars="-50"/>
                    <w:jc w:val="center"/>
                    <w:rPr>
                      <w:sz w:val="18"/>
                      <w:szCs w:val="18"/>
                    </w:rPr>
                  </w:pPr>
                  <w:r>
                    <w:rPr>
                      <w:sz w:val="18"/>
                      <w:szCs w:val="18"/>
                    </w:rPr>
                    <w:t>废复合包装材料</w:t>
                  </w:r>
                </w:p>
              </w:tc>
              <w:tc>
                <w:tcPr>
                  <w:tcW w:w="746" w:type="dxa"/>
                  <w:vAlign w:val="center"/>
                </w:tcPr>
                <w:p>
                  <w:pPr>
                    <w:adjustRightInd w:val="0"/>
                    <w:snapToGrid w:val="0"/>
                    <w:jc w:val="center"/>
                    <w:rPr>
                      <w:sz w:val="18"/>
                      <w:szCs w:val="18"/>
                    </w:rPr>
                  </w:pPr>
                  <w:r>
                    <w:rPr>
                      <w:sz w:val="18"/>
                      <w:szCs w:val="18"/>
                    </w:rPr>
                    <w:t>/</w:t>
                  </w:r>
                </w:p>
              </w:tc>
              <w:tc>
                <w:tcPr>
                  <w:tcW w:w="1017" w:type="dxa"/>
                  <w:gridSpan w:val="2"/>
                  <w:vAlign w:val="center"/>
                </w:tcPr>
                <w:p>
                  <w:pPr>
                    <w:adjustRightInd w:val="0"/>
                    <w:snapToGrid w:val="0"/>
                    <w:ind w:left="-105" w:leftChars="-50" w:right="-105" w:rightChars="-50"/>
                    <w:jc w:val="center"/>
                    <w:rPr>
                      <w:sz w:val="18"/>
                      <w:szCs w:val="18"/>
                    </w:rPr>
                  </w:pPr>
                  <w:r>
                    <w:rPr>
                      <w:sz w:val="18"/>
                      <w:szCs w:val="18"/>
                    </w:rPr>
                    <w:t>/</w:t>
                  </w:r>
                </w:p>
              </w:tc>
              <w:tc>
                <w:tcPr>
                  <w:tcW w:w="1223" w:type="dxa"/>
                  <w:vAlign w:val="center"/>
                </w:tcPr>
                <w:p>
                  <w:pPr>
                    <w:adjustRightInd w:val="0"/>
                    <w:snapToGrid w:val="0"/>
                    <w:jc w:val="center"/>
                    <w:rPr>
                      <w:sz w:val="18"/>
                      <w:szCs w:val="18"/>
                    </w:rPr>
                  </w:pPr>
                  <w:r>
                    <w:rPr>
                      <w:sz w:val="18"/>
                      <w:szCs w:val="18"/>
                    </w:rPr>
                    <w:t>0.2</w:t>
                  </w:r>
                </w:p>
              </w:tc>
              <w:tc>
                <w:tcPr>
                  <w:tcW w:w="1219" w:type="dxa"/>
                  <w:vAlign w:val="center"/>
                </w:tcPr>
                <w:p>
                  <w:pPr>
                    <w:adjustRightInd w:val="0"/>
                    <w:snapToGrid w:val="0"/>
                    <w:jc w:val="center"/>
                    <w:rPr>
                      <w:sz w:val="18"/>
                      <w:szCs w:val="18"/>
                    </w:rPr>
                  </w:pPr>
                  <w:r>
                    <w:rPr>
                      <w:sz w:val="18"/>
                      <w:szCs w:val="18"/>
                    </w:rPr>
                    <w:t>0</w:t>
                  </w:r>
                </w:p>
              </w:tc>
              <w:tc>
                <w:tcPr>
                  <w:tcW w:w="1644" w:type="dxa"/>
                  <w:vAlign w:val="center"/>
                </w:tcPr>
                <w:p>
                  <w:pPr>
                    <w:adjustRightInd w:val="0"/>
                    <w:snapToGrid w:val="0"/>
                    <w:jc w:val="center"/>
                    <w:rPr>
                      <w:sz w:val="18"/>
                      <w:szCs w:val="18"/>
                    </w:rPr>
                  </w:pPr>
                  <w:r>
                    <w:rPr>
                      <w:sz w:val="18"/>
                      <w:szCs w:val="18"/>
                    </w:rPr>
                    <w:t>交由环卫部门定期清运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0" w:type="dxa"/>
                  <w:vAlign w:val="center"/>
                </w:tcPr>
                <w:p>
                  <w:pPr>
                    <w:adjustRightInd w:val="0"/>
                    <w:snapToGrid w:val="0"/>
                    <w:ind w:left="-105" w:leftChars="-50" w:right="-105" w:rightChars="-50"/>
                    <w:jc w:val="center"/>
                    <w:rPr>
                      <w:sz w:val="18"/>
                      <w:szCs w:val="18"/>
                    </w:rPr>
                  </w:pPr>
                  <w:r>
                    <w:rPr>
                      <w:sz w:val="18"/>
                      <w:szCs w:val="18"/>
                    </w:rPr>
                    <w:t>生活垃圾</w:t>
                  </w:r>
                </w:p>
              </w:tc>
              <w:tc>
                <w:tcPr>
                  <w:tcW w:w="1939" w:type="dxa"/>
                  <w:vAlign w:val="center"/>
                </w:tcPr>
                <w:p>
                  <w:pPr>
                    <w:adjustRightInd w:val="0"/>
                    <w:snapToGrid w:val="0"/>
                    <w:ind w:left="-105" w:leftChars="-50" w:right="-105" w:rightChars="-50"/>
                    <w:jc w:val="center"/>
                    <w:rPr>
                      <w:sz w:val="18"/>
                      <w:szCs w:val="18"/>
                    </w:rPr>
                  </w:pPr>
                  <w:r>
                    <w:rPr>
                      <w:sz w:val="18"/>
                      <w:szCs w:val="18"/>
                    </w:rPr>
                    <w:t>办公生活垃圾</w:t>
                  </w:r>
                </w:p>
              </w:tc>
              <w:tc>
                <w:tcPr>
                  <w:tcW w:w="746" w:type="dxa"/>
                  <w:vAlign w:val="center"/>
                </w:tcPr>
                <w:p>
                  <w:pPr>
                    <w:adjustRightInd w:val="0"/>
                    <w:snapToGrid w:val="0"/>
                    <w:jc w:val="center"/>
                    <w:rPr>
                      <w:sz w:val="18"/>
                      <w:szCs w:val="18"/>
                    </w:rPr>
                  </w:pPr>
                  <w:r>
                    <w:rPr>
                      <w:sz w:val="18"/>
                      <w:szCs w:val="18"/>
                    </w:rPr>
                    <w:t>/</w:t>
                  </w:r>
                </w:p>
              </w:tc>
              <w:tc>
                <w:tcPr>
                  <w:tcW w:w="1017" w:type="dxa"/>
                  <w:gridSpan w:val="2"/>
                  <w:vAlign w:val="center"/>
                </w:tcPr>
                <w:p>
                  <w:pPr>
                    <w:adjustRightInd w:val="0"/>
                    <w:snapToGrid w:val="0"/>
                    <w:ind w:left="-105" w:leftChars="-50" w:right="-105" w:rightChars="-50"/>
                    <w:jc w:val="center"/>
                    <w:rPr>
                      <w:sz w:val="18"/>
                      <w:szCs w:val="18"/>
                    </w:rPr>
                  </w:pPr>
                  <w:r>
                    <w:rPr>
                      <w:sz w:val="18"/>
                      <w:szCs w:val="18"/>
                    </w:rPr>
                    <w:t>/</w:t>
                  </w:r>
                </w:p>
              </w:tc>
              <w:tc>
                <w:tcPr>
                  <w:tcW w:w="1223" w:type="dxa"/>
                  <w:vAlign w:val="center"/>
                </w:tcPr>
                <w:p>
                  <w:pPr>
                    <w:adjustRightInd w:val="0"/>
                    <w:snapToGrid w:val="0"/>
                    <w:jc w:val="center"/>
                    <w:rPr>
                      <w:sz w:val="18"/>
                      <w:szCs w:val="18"/>
                    </w:rPr>
                  </w:pPr>
                  <w:r>
                    <w:rPr>
                      <w:sz w:val="18"/>
                      <w:szCs w:val="18"/>
                    </w:rPr>
                    <w:t>5.0</w:t>
                  </w:r>
                </w:p>
              </w:tc>
              <w:tc>
                <w:tcPr>
                  <w:tcW w:w="1219" w:type="dxa"/>
                  <w:vAlign w:val="center"/>
                </w:tcPr>
                <w:p>
                  <w:pPr>
                    <w:adjustRightInd w:val="0"/>
                    <w:snapToGrid w:val="0"/>
                    <w:jc w:val="center"/>
                    <w:rPr>
                      <w:sz w:val="18"/>
                      <w:szCs w:val="18"/>
                    </w:rPr>
                  </w:pPr>
                  <w:r>
                    <w:rPr>
                      <w:sz w:val="18"/>
                      <w:szCs w:val="18"/>
                    </w:rPr>
                    <w:t>0</w:t>
                  </w:r>
                </w:p>
              </w:tc>
              <w:tc>
                <w:tcPr>
                  <w:tcW w:w="1644" w:type="dxa"/>
                  <w:vAlign w:val="center"/>
                </w:tcPr>
                <w:p>
                  <w:pPr>
                    <w:adjustRightInd w:val="0"/>
                    <w:snapToGrid w:val="0"/>
                    <w:jc w:val="center"/>
                    <w:rPr>
                      <w:sz w:val="18"/>
                      <w:szCs w:val="18"/>
                    </w:rPr>
                  </w:pPr>
                  <w:r>
                    <w:rPr>
                      <w:sz w:val="18"/>
                      <w:szCs w:val="18"/>
                    </w:rPr>
                    <w:t>交由环卫部门清运处理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982" w:type="dxa"/>
                  <w:gridSpan w:val="5"/>
                  <w:tcBorders>
                    <w:bottom w:val="single" w:color="auto" w:sz="12" w:space="0"/>
                  </w:tcBorders>
                  <w:vAlign w:val="center"/>
                </w:tcPr>
                <w:p>
                  <w:pPr>
                    <w:adjustRightInd w:val="0"/>
                    <w:snapToGrid w:val="0"/>
                    <w:jc w:val="center"/>
                    <w:rPr>
                      <w:sz w:val="18"/>
                      <w:szCs w:val="18"/>
                    </w:rPr>
                  </w:pPr>
                  <w:r>
                    <w:rPr>
                      <w:sz w:val="18"/>
                      <w:szCs w:val="18"/>
                    </w:rPr>
                    <w:t>合计</w:t>
                  </w:r>
                </w:p>
              </w:tc>
              <w:tc>
                <w:tcPr>
                  <w:tcW w:w="1223" w:type="dxa"/>
                  <w:tcBorders>
                    <w:bottom w:val="single" w:color="auto" w:sz="12" w:space="0"/>
                  </w:tcBorders>
                  <w:vAlign w:val="center"/>
                </w:tcPr>
                <w:p>
                  <w:pPr>
                    <w:adjustRightInd w:val="0"/>
                    <w:snapToGrid w:val="0"/>
                    <w:jc w:val="center"/>
                    <w:rPr>
                      <w:sz w:val="18"/>
                      <w:szCs w:val="18"/>
                    </w:rPr>
                  </w:pPr>
                  <w:r>
                    <w:rPr>
                      <w:sz w:val="18"/>
                      <w:szCs w:val="18"/>
                    </w:rPr>
                    <w:t>9.2</w:t>
                  </w:r>
                </w:p>
              </w:tc>
              <w:tc>
                <w:tcPr>
                  <w:tcW w:w="1219" w:type="dxa"/>
                  <w:tcBorders>
                    <w:bottom w:val="single" w:color="auto" w:sz="12" w:space="0"/>
                  </w:tcBorders>
                  <w:vAlign w:val="center"/>
                </w:tcPr>
                <w:p>
                  <w:pPr>
                    <w:adjustRightInd w:val="0"/>
                    <w:snapToGrid w:val="0"/>
                    <w:jc w:val="center"/>
                    <w:rPr>
                      <w:sz w:val="18"/>
                      <w:szCs w:val="18"/>
                    </w:rPr>
                  </w:pPr>
                  <w:r>
                    <w:rPr>
                      <w:sz w:val="18"/>
                      <w:szCs w:val="18"/>
                    </w:rPr>
                    <w:t>0</w:t>
                  </w:r>
                </w:p>
              </w:tc>
              <w:tc>
                <w:tcPr>
                  <w:tcW w:w="1644" w:type="dxa"/>
                  <w:tcBorders>
                    <w:bottom w:val="single" w:color="auto" w:sz="12" w:space="0"/>
                  </w:tcBorders>
                  <w:vAlign w:val="center"/>
                </w:tcPr>
                <w:p>
                  <w:pPr>
                    <w:adjustRightInd w:val="0"/>
                    <w:snapToGrid w:val="0"/>
                    <w:jc w:val="center"/>
                    <w:rPr>
                      <w:sz w:val="18"/>
                      <w:szCs w:val="18"/>
                    </w:rPr>
                  </w:pPr>
                  <w:r>
                    <w:rPr>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70" w:hRule="atLeast"/>
                <w:jc w:val="center"/>
              </w:trPr>
              <w:tc>
                <w:tcPr>
                  <w:tcW w:w="9068" w:type="dxa"/>
                  <w:gridSpan w:val="8"/>
                  <w:tcBorders>
                    <w:top w:val="single" w:color="auto" w:sz="12" w:space="0"/>
                    <w:bottom w:val="nil"/>
                  </w:tcBorders>
                  <w:vAlign w:val="center"/>
                </w:tcPr>
                <w:p>
                  <w:pPr>
                    <w:adjustRightInd w:val="0"/>
                    <w:snapToGrid w:val="0"/>
                    <w:jc w:val="left"/>
                    <w:rPr>
                      <w:rFonts w:hint="default" w:eastAsia="宋体"/>
                      <w:sz w:val="15"/>
                      <w:szCs w:val="15"/>
                      <w:lang w:val="en-US" w:eastAsia="zh-CN"/>
                    </w:rPr>
                  </w:pPr>
                  <w:r>
                    <w:rPr>
                      <w:rFonts w:hint="eastAsia"/>
                      <w:sz w:val="15"/>
                      <w:szCs w:val="15"/>
                      <w:lang w:eastAsia="zh-CN"/>
                    </w:rPr>
                    <w:t>注：</w:t>
                  </w:r>
                  <w:r>
                    <w:rPr>
                      <w:rFonts w:hint="eastAsia"/>
                      <w:sz w:val="15"/>
                      <w:szCs w:val="15"/>
                      <w:lang w:val="en-US" w:eastAsia="zh-CN"/>
                    </w:rPr>
                    <w:t>*表示该数值来源于省内转运联单中项目年度计划产生量。</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87" w:hRule="atLeast"/>
                <w:jc w:val="center"/>
              </w:trPr>
              <w:tc>
                <w:tcPr>
                  <w:tcW w:w="4541" w:type="dxa"/>
                  <w:gridSpan w:val="4"/>
                  <w:tcBorders>
                    <w:top w:val="nil"/>
                    <w:left w:val="nil"/>
                    <w:bottom w:val="nil"/>
                    <w:right w:val="nil"/>
                  </w:tcBorders>
                  <w:vAlign w:val="center"/>
                </w:tcPr>
                <w:p>
                  <w:pPr>
                    <w:jc w:val="center"/>
                    <w:rPr>
                      <w:color w:val="000000" w:themeColor="text1"/>
                      <w:sz w:val="18"/>
                      <w:szCs w:val="18"/>
                      <w14:textFill>
                        <w14:solidFill>
                          <w14:schemeClr w14:val="tx1"/>
                        </w14:solidFill>
                      </w14:textFill>
                    </w:rPr>
                  </w:pPr>
                  <w:r>
                    <w:drawing>
                      <wp:inline distT="0" distB="0" distL="114300" distR="114300">
                        <wp:extent cx="2206625" cy="1522095"/>
                        <wp:effectExtent l="0" t="0" r="3175" b="1905"/>
                        <wp:docPr id="1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4"/>
                                <pic:cNvPicPr>
                                  <a:picLocks noChangeAspect="1"/>
                                </pic:cNvPicPr>
                              </pic:nvPicPr>
                              <pic:blipFill>
                                <a:blip r:embed="rId26"/>
                                <a:srcRect l="-1079" t="-2851" r="-1079" b="-2851"/>
                                <a:stretch>
                                  <a:fillRect/>
                                </a:stretch>
                              </pic:blipFill>
                              <pic:spPr>
                                <a:xfrm>
                                  <a:off x="0" y="0"/>
                                  <a:ext cx="2206625" cy="1522095"/>
                                </a:xfrm>
                                <a:prstGeom prst="rect">
                                  <a:avLst/>
                                </a:prstGeom>
                                <a:noFill/>
                                <a:ln>
                                  <a:noFill/>
                                </a:ln>
                              </pic:spPr>
                            </pic:pic>
                          </a:graphicData>
                        </a:graphic>
                      </wp:inline>
                    </w:drawing>
                  </w:r>
                </w:p>
              </w:tc>
              <w:tc>
                <w:tcPr>
                  <w:tcW w:w="4527" w:type="dxa"/>
                  <w:gridSpan w:val="4"/>
                  <w:tcBorders>
                    <w:top w:val="nil"/>
                    <w:left w:val="nil"/>
                    <w:bottom w:val="nil"/>
                    <w:right w:val="nil"/>
                  </w:tcBorders>
                  <w:vAlign w:val="center"/>
                </w:tcPr>
                <w:p>
                  <w:pPr>
                    <w:jc w:val="center"/>
                    <w:rPr>
                      <w:rFonts w:hint="eastAsia" w:eastAsia="宋体"/>
                      <w:color w:val="000000" w:themeColor="text1"/>
                      <w:sz w:val="18"/>
                      <w:szCs w:val="18"/>
                      <w:lang w:eastAsia="zh-CN"/>
                      <w14:textFill>
                        <w14:solidFill>
                          <w14:schemeClr w14:val="tx1"/>
                        </w14:solidFill>
                      </w14:textFill>
                    </w:rPr>
                  </w:pPr>
                  <w:r>
                    <w:drawing>
                      <wp:inline distT="0" distB="0" distL="114300" distR="114300">
                        <wp:extent cx="2206625" cy="1463675"/>
                        <wp:effectExtent l="0" t="0" r="3175" b="3175"/>
                        <wp:docPr id="1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8"/>
                                <pic:cNvPicPr>
                                  <a:picLocks noChangeAspect="1"/>
                                </pic:cNvPicPr>
                              </pic:nvPicPr>
                              <pic:blipFill>
                                <a:blip r:embed="rId27"/>
                                <a:srcRect l="-1079" t="-227" r="-1079" b="-1417"/>
                                <a:stretch>
                                  <a:fillRect/>
                                </a:stretch>
                              </pic:blipFill>
                              <pic:spPr>
                                <a:xfrm>
                                  <a:off x="0" y="0"/>
                                  <a:ext cx="2206625" cy="1463675"/>
                                </a:xfrm>
                                <a:prstGeom prst="rect">
                                  <a:avLst/>
                                </a:prstGeom>
                                <a:noFill/>
                                <a:ln>
                                  <a:noFill/>
                                </a:ln>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jc w:val="center"/>
              </w:trPr>
              <w:tc>
                <w:tcPr>
                  <w:tcW w:w="4541" w:type="dxa"/>
                  <w:gridSpan w:val="4"/>
                  <w:tcBorders>
                    <w:top w:val="nil"/>
                    <w:left w:val="nil"/>
                    <w:bottom w:val="nil"/>
                    <w:right w:val="nil"/>
                  </w:tcBorders>
                  <w:vAlign w:val="center"/>
                </w:tcPr>
                <w:p>
                  <w:pPr>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园区垃圾分类</w:t>
                  </w:r>
                </w:p>
              </w:tc>
              <w:tc>
                <w:tcPr>
                  <w:tcW w:w="4527" w:type="dxa"/>
                  <w:gridSpan w:val="4"/>
                  <w:tcBorders>
                    <w:top w:val="nil"/>
                    <w:left w:val="nil"/>
                    <w:bottom w:val="nil"/>
                    <w:right w:val="nil"/>
                  </w:tcBorders>
                  <w:vAlign w:val="center"/>
                </w:tcPr>
                <w:p>
                  <w:pPr>
                    <w:jc w:val="center"/>
                    <w:rPr>
                      <w:rFonts w:hint="eastAsia" w:eastAsia="黑体"/>
                      <w:color w:val="000000" w:themeColor="text1"/>
                      <w:sz w:val="18"/>
                      <w:szCs w:val="18"/>
                      <w:lang w:eastAsia="zh-CN"/>
                      <w14:textFill>
                        <w14:solidFill>
                          <w14:schemeClr w14:val="tx1"/>
                        </w14:solidFill>
                      </w14:textFill>
                    </w:rPr>
                  </w:pPr>
                  <w:r>
                    <w:rPr>
                      <w:rFonts w:eastAsia="黑体"/>
                      <w:color w:val="000000" w:themeColor="text1"/>
                      <w:sz w:val="18"/>
                      <w:szCs w:val="18"/>
                      <w14:textFill>
                        <w14:solidFill>
                          <w14:schemeClr w14:val="tx1"/>
                        </w14:solidFill>
                      </w14:textFill>
                    </w:rPr>
                    <w:t>危废暂存间</w:t>
                  </w:r>
                </w:p>
              </w:tc>
            </w:tr>
          </w:tbl>
          <w:p>
            <w:pPr>
              <w:pStyle w:val="24"/>
              <w:spacing w:before="0" w:beforeAutospacing="0" w:after="0" w:afterAutospacing="0"/>
              <w:jc w:val="center"/>
              <w:rPr>
                <w:rFonts w:ascii="Times New Roman" w:hAnsi="Times New Roman" w:eastAsia="黑体" w:cs="Times New Roman"/>
                <w:color w:val="000000" w:themeColor="text1"/>
                <w:sz w:val="21"/>
                <w:szCs w:val="21"/>
                <w14:textFill>
                  <w14:solidFill>
                    <w14:schemeClr w14:val="tx1"/>
                  </w14:solidFill>
                </w14:textFill>
              </w:rPr>
            </w:pPr>
            <w:r>
              <w:rPr>
                <w:rFonts w:ascii="Times New Roman" w:hAnsi="Times New Roman" w:eastAsia="黑体" w:cs="Times New Roman"/>
                <w:color w:val="000000" w:themeColor="text1"/>
                <w:sz w:val="21"/>
                <w:szCs w:val="21"/>
                <w14:textFill>
                  <w14:solidFill>
                    <w14:schemeClr w14:val="tx1"/>
                  </w14:solidFill>
                </w14:textFill>
              </w:rPr>
              <w:t>图3-7 固体废物治理设施图片</w:t>
            </w:r>
          </w:p>
          <w:p>
            <w:pPr>
              <w:spacing w:line="360" w:lineRule="auto"/>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3.3其他环境保护设施</w:t>
            </w:r>
          </w:p>
          <w:p>
            <w:pPr>
              <w:spacing w:line="360" w:lineRule="auto"/>
              <w:ind w:right="178" w:rightChars="85"/>
              <w:jc w:val="left"/>
              <w:rPr>
                <w:rFonts w:eastAsia="黑体"/>
                <w:color w:val="000000" w:themeColor="text1"/>
                <w:sz w:val="24"/>
                <w14:textFill>
                  <w14:solidFill>
                    <w14:schemeClr w14:val="tx1"/>
                  </w14:solidFill>
                </w14:textFill>
              </w:rPr>
            </w:pPr>
            <w:r>
              <w:rPr>
                <w:rFonts w:hint="eastAsia" w:eastAsia="黑体"/>
                <w:color w:val="000000" w:themeColor="text1"/>
                <w:sz w:val="24"/>
                <w14:textFill>
                  <w14:solidFill>
                    <w14:schemeClr w14:val="tx1"/>
                  </w14:solidFill>
                </w14:textFill>
              </w:rPr>
              <w:t>3.3.1</w:t>
            </w:r>
            <w:r>
              <w:rPr>
                <w:rFonts w:eastAsia="黑体"/>
                <w:color w:val="000000" w:themeColor="text1"/>
                <w:sz w:val="24"/>
                <w14:textFill>
                  <w14:solidFill>
                    <w14:schemeClr w14:val="tx1"/>
                  </w14:solidFill>
                </w14:textFill>
              </w:rPr>
              <w:t>危废暂存设施</w:t>
            </w:r>
          </w:p>
          <w:p>
            <w:pPr>
              <w:spacing w:line="360" w:lineRule="auto"/>
              <w:ind w:firstLine="480" w:firstLineChars="200"/>
              <w:rPr>
                <w:rFonts w:hint="eastAsia" w:eastAsia="宋体"/>
                <w:color w:val="000000" w:themeColor="text1"/>
                <w:sz w:val="24"/>
                <w:lang w:val="en-US" w:eastAsia="zh-CN"/>
                <w14:textFill>
                  <w14:solidFill>
                    <w14:schemeClr w14:val="tx1"/>
                  </w14:solidFill>
                </w14:textFill>
              </w:rPr>
            </w:pPr>
            <w:r>
              <w:rPr>
                <w:color w:val="000000" w:themeColor="text1"/>
                <w:sz w:val="24"/>
                <w14:textFill>
                  <w14:solidFill>
                    <w14:schemeClr w14:val="tx1"/>
                  </w14:solidFill>
                </w14:textFill>
              </w:rPr>
              <w:t>项目已设置危废暂存间，面积约</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r>
              <w:rPr>
                <w:rFonts w:hint="eastAsia"/>
                <w:color w:val="000000" w:themeColor="text1"/>
                <w:sz w:val="24"/>
                <w:vertAlign w:val="baseline"/>
                <w:lang w:eastAsia="zh-CN"/>
                <w14:textFill>
                  <w14:solidFill>
                    <w14:schemeClr w14:val="tx1"/>
                  </w14:solidFill>
                </w14:textFill>
              </w:rPr>
              <w:t>，同时</w:t>
            </w:r>
            <w:r>
              <w:rPr>
                <w:rFonts w:hint="eastAsia"/>
                <w:color w:val="000000" w:themeColor="text1"/>
                <w:sz w:val="24"/>
                <w14:textFill>
                  <w14:solidFill>
                    <w14:schemeClr w14:val="tx1"/>
                  </w14:solidFill>
                </w14:textFill>
              </w:rPr>
              <w:t>设置</w:t>
            </w:r>
            <w:r>
              <w:rPr>
                <w:rFonts w:hint="eastAsia"/>
                <w:color w:val="000000" w:themeColor="text1"/>
                <w:sz w:val="24"/>
                <w:lang w:eastAsia="zh-CN"/>
                <w14:textFill>
                  <w14:solidFill>
                    <w14:schemeClr w14:val="tx1"/>
                  </w14:solidFill>
                </w14:textFill>
              </w:rPr>
              <w:t>了</w:t>
            </w:r>
            <w:r>
              <w:rPr>
                <w:rFonts w:hint="eastAsia"/>
                <w:color w:val="000000" w:themeColor="text1"/>
                <w:sz w:val="24"/>
                <w14:textFill>
                  <w14:solidFill>
                    <w14:schemeClr w14:val="tx1"/>
                  </w14:solidFill>
                </w14:textFill>
              </w:rPr>
              <w:t>危废垃圾桶</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同时</w:t>
            </w:r>
            <w:r>
              <w:rPr>
                <w:color w:val="000000" w:themeColor="text1"/>
                <w:sz w:val="24"/>
                <w14:textFill>
                  <w14:solidFill>
                    <w14:schemeClr w14:val="tx1"/>
                  </w14:solidFill>
                </w14:textFill>
              </w:rPr>
              <w:t>废液桶下设置托盘，可有效防止桶破裂泄漏。废固态产品采用塑料袋收集</w:t>
            </w:r>
            <w:r>
              <w:rPr>
                <w:rFonts w:hint="eastAsia"/>
                <w:color w:val="000000" w:themeColor="text1"/>
                <w:sz w:val="24"/>
                <w:lang w:eastAsia="zh-CN"/>
                <w14:textFill>
                  <w14:solidFill>
                    <w14:schemeClr w14:val="tx1"/>
                  </w14:solidFill>
                </w14:textFill>
              </w:rPr>
              <w:t>。</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3.3.</w:t>
            </w:r>
            <w:r>
              <w:rPr>
                <w:rFonts w:hint="eastAsia" w:eastAsia="黑体"/>
                <w:color w:val="000000" w:themeColor="text1"/>
                <w:sz w:val="24"/>
                <w14:textFill>
                  <w14:solidFill>
                    <w14:schemeClr w14:val="tx1"/>
                  </w14:solidFill>
                </w14:textFill>
              </w:rPr>
              <w:t>2</w:t>
            </w:r>
            <w:r>
              <w:rPr>
                <w:rFonts w:eastAsia="黑体"/>
                <w:color w:val="000000" w:themeColor="text1"/>
                <w:sz w:val="24"/>
                <w14:textFill>
                  <w14:solidFill>
                    <w14:schemeClr w14:val="tx1"/>
                  </w14:solidFill>
                </w14:textFill>
              </w:rPr>
              <w:t>环境风险落实情况</w:t>
            </w:r>
          </w:p>
          <w:p>
            <w:pPr>
              <w:spacing w:line="360" w:lineRule="auto"/>
              <w:ind w:firstLine="480" w:firstLineChars="200"/>
              <w:rPr>
                <w:sz w:val="24"/>
              </w:rPr>
            </w:pPr>
            <w:r>
              <w:rPr>
                <w:sz w:val="24"/>
              </w:rPr>
              <w:t>为避免</w:t>
            </w:r>
            <w:r>
              <w:rPr>
                <w:rFonts w:hint="eastAsia"/>
                <w:sz w:val="24"/>
              </w:rPr>
              <w:t>本项目</w:t>
            </w:r>
            <w:r>
              <w:rPr>
                <w:sz w:val="24"/>
              </w:rPr>
              <w:t>危险废物风险事故，尤其是避免风险事故发生后对环境造成严重的污染，依据《突发事件应急预案管理办法》规定，</w:t>
            </w:r>
            <w:r>
              <w:rPr>
                <w:color w:val="000000" w:themeColor="text1"/>
                <w:sz w:val="24"/>
                <w14:textFill>
                  <w14:solidFill>
                    <w14:schemeClr w14:val="tx1"/>
                  </w14:solidFill>
                </w14:textFill>
              </w:rPr>
              <w:t>武汉普诺赛生命科技有限公司于2021年12月1日编制并</w:t>
            </w:r>
            <w:r>
              <w:rPr>
                <w:sz w:val="24"/>
              </w:rPr>
              <w:t>实施了《</w:t>
            </w:r>
            <w:r>
              <w:rPr>
                <w:color w:val="000000" w:themeColor="text1"/>
                <w:sz w:val="24"/>
                <w14:textFill>
                  <w14:solidFill>
                    <w14:schemeClr w14:val="tx1"/>
                  </w14:solidFill>
                </w14:textFill>
              </w:rPr>
              <w:t>武汉普诺赛生命科技有限公司危险废物应急处理预案</w:t>
            </w:r>
            <w:r>
              <w:rPr>
                <w:sz w:val="24"/>
              </w:rPr>
              <w:t>》。</w:t>
            </w:r>
          </w:p>
          <w:p>
            <w:pPr>
              <w:pStyle w:val="11"/>
              <w:spacing w:line="360" w:lineRule="auto"/>
              <w:ind w:firstLine="480" w:firstLineChars="200"/>
              <w:rPr>
                <w:szCs w:val="24"/>
              </w:rPr>
            </w:pPr>
            <w:r>
              <w:rPr>
                <w:szCs w:val="24"/>
              </w:rPr>
              <w:t>根据</w:t>
            </w:r>
            <w:r>
              <w:t>《</w:t>
            </w:r>
            <w:r>
              <w:rPr>
                <w:color w:val="000000" w:themeColor="text1"/>
                <w14:textFill>
                  <w14:solidFill>
                    <w14:schemeClr w14:val="tx1"/>
                  </w14:solidFill>
                </w14:textFill>
              </w:rPr>
              <w:t>武汉普诺赛生命科技有限公司危险废物应急处理预案</w:t>
            </w:r>
            <w:r>
              <w:t>》</w:t>
            </w:r>
            <w:r>
              <w:rPr>
                <w:szCs w:val="24"/>
              </w:rPr>
              <w:t>，</w:t>
            </w:r>
            <w:r>
              <w:rPr>
                <w:rFonts w:hint="eastAsia"/>
                <w:szCs w:val="24"/>
              </w:rPr>
              <w:t>项目</w:t>
            </w:r>
            <w:r>
              <w:rPr>
                <w:szCs w:val="24"/>
              </w:rPr>
              <w:t>在严格加强危险废物贮存和处置全过程的管理时，重点按照了以下内容执行：</w:t>
            </w:r>
          </w:p>
          <w:p>
            <w:pPr>
              <w:pStyle w:val="11"/>
              <w:spacing w:line="360" w:lineRule="auto"/>
              <w:ind w:firstLine="480" w:firstLineChars="200"/>
              <w:rPr>
                <w:szCs w:val="24"/>
              </w:rPr>
            </w:pPr>
            <w:r>
              <w:rPr>
                <w:szCs w:val="24"/>
              </w:rPr>
              <w:t>①合理设置不渗透间隔分开的区域，每个部分都有防漏裙脚或储漏盘；危险废物与其他固体废物严格隔离，禁止一般工业固废和生活垃圾混入；同时也禁止危险废物混入一般工业固废和生活垃圾中。</w:t>
            </w:r>
          </w:p>
          <w:p>
            <w:pPr>
              <w:pStyle w:val="11"/>
              <w:spacing w:line="360" w:lineRule="auto"/>
              <w:ind w:firstLine="480" w:firstLineChars="200"/>
              <w:rPr>
                <w:szCs w:val="24"/>
              </w:rPr>
            </w:pPr>
            <w:r>
              <w:rPr>
                <w:szCs w:val="24"/>
              </w:rPr>
              <w:t>②定期检查场地的防渗性能。地面与裙脚用坚固、防渗的材料建造。</w:t>
            </w:r>
          </w:p>
          <w:p>
            <w:pPr>
              <w:pStyle w:val="11"/>
              <w:spacing w:line="360" w:lineRule="auto"/>
              <w:ind w:firstLine="480" w:firstLineChars="200"/>
              <w:rPr>
                <w:szCs w:val="24"/>
              </w:rPr>
            </w:pPr>
            <w:r>
              <w:rPr>
                <w:szCs w:val="24"/>
              </w:rPr>
              <w:t>③强化配套设施的配备。危险废物使用符合标准的容器分类盛装，无法装入常用容器的危险废物可用防漏胶袋等盛装；禁止将不相容（相互反应）的危险废物在同一容器内混装；盛装危险废物的容器上必须粘贴符合标准的标签。</w:t>
            </w:r>
          </w:p>
          <w:p>
            <w:pPr>
              <w:pStyle w:val="11"/>
              <w:spacing w:line="360" w:lineRule="auto"/>
              <w:ind w:firstLine="480" w:firstLineChars="200"/>
              <w:rPr>
                <w:szCs w:val="24"/>
              </w:rPr>
            </w:pPr>
            <w:r>
              <w:rPr>
                <w:szCs w:val="24"/>
              </w:rPr>
              <w:t>④装载液体、半固体危险废物的容器内须留足够空间，容器顶部与液体表面之间保留100毫米以上的空间。</w:t>
            </w:r>
          </w:p>
          <w:p>
            <w:pPr>
              <w:pStyle w:val="11"/>
              <w:spacing w:line="360" w:lineRule="auto"/>
              <w:ind w:firstLine="480" w:firstLineChars="200"/>
              <w:rPr>
                <w:szCs w:val="24"/>
              </w:rPr>
            </w:pPr>
            <w:r>
              <w:rPr>
                <w:szCs w:val="24"/>
              </w:rPr>
              <w:t>⑤检查场区内的通讯设备、照明设施、安全防护服装及工具，检查应急防护设施。</w:t>
            </w:r>
          </w:p>
          <w:p>
            <w:pPr>
              <w:pStyle w:val="11"/>
              <w:spacing w:line="360" w:lineRule="auto"/>
              <w:ind w:firstLine="480" w:firstLineChars="200"/>
              <w:rPr>
                <w:szCs w:val="24"/>
              </w:rPr>
            </w:pPr>
            <w:r>
              <w:rPr>
                <w:szCs w:val="24"/>
              </w:rPr>
              <w:t>⑥完善维护制度，详细记录入场固体废物的种类和数量以及其他相关资料并长期保存，供随时查阅。</w:t>
            </w:r>
          </w:p>
          <w:p>
            <w:pPr>
              <w:pStyle w:val="11"/>
              <w:spacing w:line="360" w:lineRule="auto"/>
              <w:ind w:firstLine="480" w:firstLineChars="200"/>
              <w:rPr>
                <w:szCs w:val="24"/>
              </w:rPr>
            </w:pPr>
            <w:r>
              <w:rPr>
                <w:szCs w:val="24"/>
              </w:rPr>
              <w:t>⑦当暂存间因故不再承担新的贮存、处置任务时，予以关闭，同时采取措施消除污染，无法消除污染的设备、墙体等按危险废物处理，并运至正在营运的危险废物处理处置场或其它贮存设施中。关闭后，设置标志物，注明关闭，以及使用该暂存间时应注意的事项，并继续维护管理，直到稳定为止。监测部门的监测结果表明已不存在污染时，方可摘下警示标志，撤离留守人员。</w:t>
            </w:r>
          </w:p>
          <w:p>
            <w:pPr>
              <w:pStyle w:val="11"/>
              <w:spacing w:line="360" w:lineRule="auto"/>
              <w:ind w:firstLine="480" w:firstLineChars="200"/>
              <w:rPr>
                <w:szCs w:val="24"/>
              </w:rPr>
            </w:pPr>
            <w:r>
              <w:rPr>
                <w:szCs w:val="24"/>
              </w:rPr>
              <w:t>⑧项目产生的固体废物产生量、拟采取的处置措施及去向按《中华人民共和国固体废物污染环境防治法》的规定向当地环境保护局申报，填报危险废物转移五联单，按要求对</w:t>
            </w:r>
            <w:r>
              <w:rPr>
                <w:rFonts w:hint="eastAsia"/>
                <w:szCs w:val="24"/>
              </w:rPr>
              <w:t>项目</w:t>
            </w:r>
            <w:r>
              <w:rPr>
                <w:szCs w:val="24"/>
              </w:rPr>
              <w:t>产生的固体废物特别是危险废物进行全过程严格管理和安全处置。</w:t>
            </w:r>
          </w:p>
          <w:p>
            <w:pPr>
              <w:pStyle w:val="11"/>
              <w:spacing w:line="360" w:lineRule="auto"/>
              <w:ind w:firstLine="480" w:firstLineChars="200"/>
              <w:rPr>
                <w:szCs w:val="24"/>
              </w:rPr>
            </w:pPr>
            <w:r>
              <w:rPr>
                <w:szCs w:val="24"/>
              </w:rPr>
              <w:t>建设方合理选择运输路线，可尽量减少危险废物对人群的影响，危险废物的运输时间必须避免企业上下班的高峰期。</w:t>
            </w:r>
          </w:p>
          <w:tbl>
            <w:tblPr>
              <w:tblStyle w:val="28"/>
              <w:tblW w:w="8504"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0" w:type="dxa"/>
                <w:left w:w="108" w:type="dxa"/>
                <w:bottom w:w="0" w:type="dxa"/>
                <w:right w:w="108" w:type="dxa"/>
              </w:tblCellMar>
            </w:tblPr>
            <w:tblGrid>
              <w:gridCol w:w="4185"/>
              <w:gridCol w:w="4319"/>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464" w:type="dxa"/>
                  <w:tcBorders>
                    <w:top w:val="nil"/>
                    <w:left w:val="nil"/>
                    <w:bottom w:val="nil"/>
                    <w:right w:val="nil"/>
                  </w:tcBorders>
                  <w:vAlign w:val="center"/>
                </w:tcPr>
                <w:p>
                  <w:pPr>
                    <w:jc w:val="center"/>
                    <w:rPr>
                      <w:color w:val="000000" w:themeColor="text1"/>
                      <w:sz w:val="18"/>
                      <w14:textFill>
                        <w14:solidFill>
                          <w14:schemeClr w14:val="tx1"/>
                        </w14:solidFill>
                      </w14:textFill>
                    </w:rPr>
                  </w:pPr>
                  <w:r>
                    <w:drawing>
                      <wp:inline distT="0" distB="0" distL="114300" distR="114300">
                        <wp:extent cx="2077085" cy="1446530"/>
                        <wp:effectExtent l="0" t="0" r="18415" b="127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8"/>
                                <a:stretch>
                                  <a:fillRect/>
                                </a:stretch>
                              </pic:blipFill>
                              <pic:spPr>
                                <a:xfrm>
                                  <a:off x="0" y="0"/>
                                  <a:ext cx="2077085" cy="1446530"/>
                                </a:xfrm>
                                <a:prstGeom prst="rect">
                                  <a:avLst/>
                                </a:prstGeom>
                                <a:noFill/>
                                <a:ln>
                                  <a:noFill/>
                                </a:ln>
                              </pic:spPr>
                            </pic:pic>
                          </a:graphicData>
                        </a:graphic>
                      </wp:inline>
                    </w:drawing>
                  </w:r>
                </w:p>
              </w:tc>
              <w:tc>
                <w:tcPr>
                  <w:tcW w:w="4607" w:type="dxa"/>
                  <w:tcBorders>
                    <w:top w:val="nil"/>
                    <w:left w:val="nil"/>
                    <w:bottom w:val="nil"/>
                    <w:right w:val="nil"/>
                  </w:tcBorders>
                  <w:vAlign w:val="center"/>
                </w:tcPr>
                <w:p>
                  <w:pPr>
                    <w:jc w:val="center"/>
                    <w:rPr>
                      <w:rFonts w:eastAsia="黑体"/>
                      <w:color w:val="000000" w:themeColor="text1"/>
                      <w:sz w:val="18"/>
                      <w:szCs w:val="21"/>
                      <w14:textFill>
                        <w14:solidFill>
                          <w14:schemeClr w14:val="tx1"/>
                        </w14:solidFill>
                      </w14:textFill>
                    </w:rPr>
                  </w:pPr>
                  <w:r>
                    <w:rPr>
                      <w:rFonts w:hint="eastAsia" w:eastAsia="宋体"/>
                      <w:color w:val="000000" w:themeColor="text1"/>
                      <w:sz w:val="18"/>
                      <w:szCs w:val="18"/>
                      <w:lang w:eastAsia="zh-CN"/>
                      <w14:textFill>
                        <w14:solidFill>
                          <w14:schemeClr w14:val="tx1"/>
                        </w14:solidFill>
                      </w14:textFill>
                    </w:rPr>
                    <w:drawing>
                      <wp:inline distT="0" distB="0" distL="114300" distR="114300">
                        <wp:extent cx="2165985" cy="1440180"/>
                        <wp:effectExtent l="0" t="0" r="5715" b="7620"/>
                        <wp:docPr id="2" name="图片 2" descr="73d2ee65ce60e15a02a64648eef6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3d2ee65ce60e15a02a64648eef6d58"/>
                                <pic:cNvPicPr>
                                  <a:picLocks noChangeAspect="1"/>
                                </pic:cNvPicPr>
                              </pic:nvPicPr>
                              <pic:blipFill>
                                <a:blip r:embed="rId29"/>
                                <a:stretch>
                                  <a:fillRect/>
                                </a:stretch>
                              </pic:blipFill>
                              <pic:spPr>
                                <a:xfrm>
                                  <a:off x="0" y="0"/>
                                  <a:ext cx="2165985" cy="1440180"/>
                                </a:xfrm>
                                <a:prstGeom prst="rect">
                                  <a:avLst/>
                                </a:prstGeom>
                              </pic:spPr>
                            </pic:pic>
                          </a:graphicData>
                        </a:graphic>
                      </wp:inline>
                    </w:drawing>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jc w:val="center"/>
              </w:trPr>
              <w:tc>
                <w:tcPr>
                  <w:tcW w:w="4464" w:type="dxa"/>
                  <w:tcBorders>
                    <w:top w:val="nil"/>
                    <w:left w:val="nil"/>
                    <w:bottom w:val="nil"/>
                    <w:right w:val="nil"/>
                  </w:tcBorders>
                </w:tcPr>
                <w:p>
                  <w:pPr>
                    <w:jc w:val="center"/>
                    <w:rPr>
                      <w:rFonts w:eastAsia="黑体"/>
                      <w:color w:val="000000" w:themeColor="text1"/>
                      <w:sz w:val="18"/>
                      <w:szCs w:val="21"/>
                      <w14:textFill>
                        <w14:solidFill>
                          <w14:schemeClr w14:val="tx1"/>
                        </w14:solidFill>
                      </w14:textFill>
                    </w:rPr>
                  </w:pPr>
                  <w:r>
                    <w:rPr>
                      <w:rFonts w:eastAsia="黑体"/>
                      <w:color w:val="000000" w:themeColor="text1"/>
                      <w:sz w:val="18"/>
                      <w:szCs w:val="21"/>
                      <w14:textFill>
                        <w14:solidFill>
                          <w14:schemeClr w14:val="tx1"/>
                        </w14:solidFill>
                      </w14:textFill>
                    </w:rPr>
                    <w:t>危废</w:t>
                  </w:r>
                  <w:r>
                    <w:rPr>
                      <w:rFonts w:hint="eastAsia" w:eastAsia="黑体"/>
                      <w:color w:val="000000" w:themeColor="text1"/>
                      <w:sz w:val="18"/>
                      <w:szCs w:val="21"/>
                      <w:lang w:eastAsia="zh-CN"/>
                      <w14:textFill>
                        <w14:solidFill>
                          <w14:schemeClr w14:val="tx1"/>
                        </w14:solidFill>
                      </w14:textFill>
                    </w:rPr>
                    <w:t>收集</w:t>
                  </w:r>
                  <w:r>
                    <w:rPr>
                      <w:rFonts w:eastAsia="黑体"/>
                      <w:color w:val="000000" w:themeColor="text1"/>
                      <w:sz w:val="18"/>
                      <w:szCs w:val="21"/>
                      <w14:textFill>
                        <w14:solidFill>
                          <w14:schemeClr w14:val="tx1"/>
                        </w14:solidFill>
                      </w14:textFill>
                    </w:rPr>
                    <w:t>桶</w:t>
                  </w:r>
                </w:p>
              </w:tc>
              <w:tc>
                <w:tcPr>
                  <w:tcW w:w="4607" w:type="dxa"/>
                  <w:tcBorders>
                    <w:top w:val="nil"/>
                    <w:left w:val="nil"/>
                    <w:bottom w:val="nil"/>
                    <w:right w:val="nil"/>
                  </w:tcBorders>
                </w:tcPr>
                <w:p>
                  <w:pPr>
                    <w:jc w:val="center"/>
                    <w:rPr>
                      <w:rFonts w:hint="eastAsia" w:eastAsia="黑体"/>
                      <w:color w:val="000000" w:themeColor="text1"/>
                      <w:sz w:val="18"/>
                      <w:szCs w:val="21"/>
                      <w:lang w:eastAsia="zh-CN"/>
                      <w14:textFill>
                        <w14:solidFill>
                          <w14:schemeClr w14:val="tx1"/>
                        </w14:solidFill>
                      </w14:textFill>
                    </w:rPr>
                  </w:pPr>
                  <w:r>
                    <w:rPr>
                      <w:rFonts w:eastAsia="黑体"/>
                      <w:color w:val="000000" w:themeColor="text1"/>
                      <w:sz w:val="18"/>
                      <w:szCs w:val="18"/>
                      <w14:textFill>
                        <w14:solidFill>
                          <w14:schemeClr w14:val="tx1"/>
                        </w14:solidFill>
                      </w14:textFill>
                    </w:rPr>
                    <w:t>危废暂存间</w:t>
                  </w:r>
                  <w:r>
                    <w:rPr>
                      <w:rFonts w:hint="eastAsia" w:eastAsia="黑体"/>
                      <w:color w:val="000000" w:themeColor="text1"/>
                      <w:sz w:val="18"/>
                      <w:szCs w:val="18"/>
                      <w:lang w:eastAsia="zh-CN"/>
                      <w14:textFill>
                        <w14:solidFill>
                          <w14:schemeClr w14:val="tx1"/>
                        </w14:solidFill>
                      </w14:textFill>
                    </w:rPr>
                    <w:t>标识</w:t>
                  </w:r>
                </w:p>
              </w:tc>
            </w:tr>
          </w:tbl>
          <w:p>
            <w:pPr>
              <w:pStyle w:val="24"/>
              <w:spacing w:before="0" w:beforeAutospacing="0" w:after="0" w:afterAutospacing="0"/>
              <w:jc w:val="center"/>
              <w:rPr>
                <w:rFonts w:ascii="Times New Roman" w:hAnsi="Times New Roman" w:cs="Times New Roman"/>
              </w:rPr>
            </w:pPr>
            <w:r>
              <w:rPr>
                <w:rFonts w:ascii="Times New Roman" w:hAnsi="Times New Roman" w:eastAsia="黑体" w:cs="Times New Roman"/>
                <w:color w:val="000000" w:themeColor="text1"/>
                <w:sz w:val="21"/>
                <w:szCs w:val="21"/>
                <w14:textFill>
                  <w14:solidFill>
                    <w14:schemeClr w14:val="tx1"/>
                  </w14:solidFill>
                </w14:textFill>
              </w:rPr>
              <w:t>图3-8 风险防范设施图片</w:t>
            </w:r>
          </w:p>
          <w:p>
            <w:pPr>
              <w:spacing w:line="360" w:lineRule="auto"/>
              <w:ind w:right="178" w:rightChars="85"/>
              <w:jc w:val="left"/>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3.4环保设施投资及“三同时”落实情况</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项目实际总投资300万元，其中环保投资</w:t>
            </w:r>
            <w:r>
              <w:rPr>
                <w:rFonts w:hint="eastAsia"/>
                <w:color w:val="000000" w:themeColor="text1"/>
                <w:sz w:val="24"/>
                <w14:textFill>
                  <w14:solidFill>
                    <w14:schemeClr w14:val="tx1"/>
                  </w14:solidFill>
                </w14:textFill>
              </w:rPr>
              <w:t>15</w:t>
            </w:r>
            <w:r>
              <w:rPr>
                <w:color w:val="000000" w:themeColor="text1"/>
                <w:sz w:val="24"/>
                <w14:textFill>
                  <w14:solidFill>
                    <w14:schemeClr w14:val="tx1"/>
                  </w14:solidFill>
                </w14:textFill>
              </w:rPr>
              <w:t>万元，占投资金额</w:t>
            </w:r>
            <w:r>
              <w:rPr>
                <w:rFonts w:hint="eastAsia"/>
                <w:color w:val="000000" w:themeColor="text1"/>
                <w:sz w:val="24"/>
                <w14:textFill>
                  <w14:solidFill>
                    <w14:schemeClr w14:val="tx1"/>
                  </w14:solidFill>
                </w14:textFill>
              </w:rPr>
              <w:t>5.0</w:t>
            </w:r>
            <w:r>
              <w:rPr>
                <w:color w:val="000000" w:themeColor="text1"/>
                <w:sz w:val="24"/>
                <w14:textFill>
                  <w14:solidFill>
                    <w14:schemeClr w14:val="tx1"/>
                  </w14:solidFill>
                </w14:textFill>
              </w:rPr>
              <w:t>%。项目“三同时”落实情况详见下表。</w:t>
            </w:r>
          </w:p>
          <w:p>
            <w:pPr>
              <w:ind w:firstLine="420" w:firstLineChars="200"/>
              <w:jc w:val="center"/>
              <w:rPr>
                <w:rFonts w:eastAsia="黑体"/>
                <w:bCs/>
                <w:color w:val="000000" w:themeColor="text1"/>
                <w14:textFill>
                  <w14:solidFill>
                    <w14:schemeClr w14:val="tx1"/>
                  </w14:solidFill>
                </w14:textFill>
              </w:rPr>
            </w:pPr>
            <w:r>
              <w:rPr>
                <w:rFonts w:eastAsia="黑体"/>
                <w:bCs/>
                <w:color w:val="000000" w:themeColor="text1"/>
                <w14:textFill>
                  <w14:solidFill>
                    <w14:schemeClr w14:val="tx1"/>
                  </w14:solidFill>
                </w14:textFill>
              </w:rPr>
              <w:t>表3-5 项目“三同时”落实情况一览表</w:t>
            </w:r>
          </w:p>
          <w:tbl>
            <w:tblPr>
              <w:tblStyle w:val="28"/>
              <w:tblW w:w="907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
              <w:gridCol w:w="367"/>
              <w:gridCol w:w="575"/>
              <w:gridCol w:w="2240"/>
              <w:gridCol w:w="2524"/>
              <w:gridCol w:w="763"/>
              <w:gridCol w:w="1119"/>
              <w:gridCol w:w="586"/>
              <w:gridCol w:w="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637" w:type="dxa"/>
                  <w:gridSpan w:val="2"/>
                  <w:vMerge w:val="restart"/>
                  <w:tcMar>
                    <w:left w:w="28" w:type="dxa"/>
                    <w:right w:w="28" w:type="dxa"/>
                  </w:tcMar>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类别</w:t>
                  </w:r>
                </w:p>
              </w:tc>
              <w:tc>
                <w:tcPr>
                  <w:tcW w:w="575" w:type="dxa"/>
                  <w:vMerge w:val="restart"/>
                  <w:tcMar>
                    <w:left w:w="28" w:type="dxa"/>
                    <w:right w:w="28" w:type="dxa"/>
                  </w:tcMar>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名称</w:t>
                  </w:r>
                </w:p>
              </w:tc>
              <w:tc>
                <w:tcPr>
                  <w:tcW w:w="4764" w:type="dxa"/>
                  <w:gridSpan w:val="2"/>
                  <w:tcMar>
                    <w:left w:w="28" w:type="dxa"/>
                    <w:right w:w="28" w:type="dxa"/>
                  </w:tcMar>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治理措施</w:t>
                  </w:r>
                </w:p>
              </w:tc>
              <w:tc>
                <w:tcPr>
                  <w:tcW w:w="763" w:type="dxa"/>
                  <w:vMerge w:val="restart"/>
                  <w:vAlign w:val="center"/>
                </w:tcPr>
                <w:p>
                  <w:pPr>
                    <w:spacing w:line="240" w:lineRule="exact"/>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落实</w:t>
                  </w:r>
                </w:p>
                <w:p>
                  <w:pPr>
                    <w:spacing w:line="240" w:lineRule="exact"/>
                    <w:jc w:val="center"/>
                    <w:rPr>
                      <w:b/>
                      <w:bCs/>
                      <w:color w:val="000000" w:themeColor="text1"/>
                      <w:sz w:val="18"/>
                      <w:szCs w:val="18"/>
                      <w14:textFill>
                        <w14:solidFill>
                          <w14:schemeClr w14:val="tx1"/>
                        </w14:solidFill>
                      </w14:textFill>
                    </w:rPr>
                  </w:pPr>
                  <w:r>
                    <w:rPr>
                      <w:b/>
                      <w:bCs/>
                      <w:color w:val="000000" w:themeColor="text1"/>
                      <w:kern w:val="0"/>
                      <w:sz w:val="18"/>
                      <w:szCs w:val="18"/>
                      <w14:textFill>
                        <w14:solidFill>
                          <w14:schemeClr w14:val="tx1"/>
                        </w14:solidFill>
                      </w14:textFill>
                    </w:rPr>
                    <w:t>情况</w:t>
                  </w:r>
                </w:p>
              </w:tc>
              <w:tc>
                <w:tcPr>
                  <w:tcW w:w="1119" w:type="dxa"/>
                  <w:vMerge w:val="restart"/>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处理效果</w:t>
                  </w:r>
                </w:p>
              </w:tc>
              <w:tc>
                <w:tcPr>
                  <w:tcW w:w="1213" w:type="dxa"/>
                  <w:gridSpan w:val="2"/>
                  <w:vAlign w:val="center"/>
                </w:tcPr>
                <w:p>
                  <w:pPr>
                    <w:pStyle w:val="49"/>
                    <w:jc w:val="center"/>
                    <w:rPr>
                      <w:b/>
                      <w:bCs/>
                      <w:color w:val="000000" w:themeColor="text1"/>
                      <w:szCs w:val="18"/>
                      <w14:textFill>
                        <w14:solidFill>
                          <w14:schemeClr w14:val="tx1"/>
                        </w14:solidFill>
                      </w14:textFill>
                    </w:rPr>
                  </w:pPr>
                  <w:r>
                    <w:rPr>
                      <w:rFonts w:eastAsiaTheme="minorEastAsia"/>
                      <w:b/>
                      <w:bCs/>
                      <w:szCs w:val="18"/>
                    </w:rPr>
                    <w:t>环保投资金额（万元）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37" w:type="dxa"/>
                  <w:gridSpan w:val="2"/>
                  <w:vMerge w:val="continue"/>
                  <w:tcBorders>
                    <w:bottom w:val="single" w:color="auto" w:sz="12" w:space="0"/>
                  </w:tcBorders>
                  <w:tcMar>
                    <w:left w:w="28" w:type="dxa"/>
                    <w:right w:w="28" w:type="dxa"/>
                  </w:tcMar>
                  <w:vAlign w:val="center"/>
                </w:tcPr>
                <w:p>
                  <w:pPr>
                    <w:adjustRightInd w:val="0"/>
                    <w:snapToGrid w:val="0"/>
                    <w:spacing w:line="240" w:lineRule="exact"/>
                    <w:jc w:val="center"/>
                    <w:rPr>
                      <w:b/>
                      <w:bCs/>
                      <w:color w:val="000000" w:themeColor="text1"/>
                      <w:sz w:val="18"/>
                      <w:szCs w:val="18"/>
                      <w14:textFill>
                        <w14:solidFill>
                          <w14:schemeClr w14:val="tx1"/>
                        </w14:solidFill>
                      </w14:textFill>
                    </w:rPr>
                  </w:pPr>
                </w:p>
              </w:tc>
              <w:tc>
                <w:tcPr>
                  <w:tcW w:w="575" w:type="dxa"/>
                  <w:vMerge w:val="continue"/>
                  <w:tcBorders>
                    <w:bottom w:val="single" w:color="auto" w:sz="12" w:space="0"/>
                  </w:tcBorders>
                  <w:tcMar>
                    <w:left w:w="28" w:type="dxa"/>
                    <w:right w:w="28" w:type="dxa"/>
                  </w:tcMar>
                  <w:vAlign w:val="center"/>
                </w:tcPr>
                <w:p>
                  <w:pPr>
                    <w:adjustRightInd w:val="0"/>
                    <w:snapToGrid w:val="0"/>
                    <w:spacing w:line="240" w:lineRule="exact"/>
                    <w:jc w:val="center"/>
                    <w:rPr>
                      <w:b/>
                      <w:bCs/>
                      <w:color w:val="000000" w:themeColor="text1"/>
                      <w:sz w:val="18"/>
                      <w:szCs w:val="18"/>
                      <w14:textFill>
                        <w14:solidFill>
                          <w14:schemeClr w14:val="tx1"/>
                        </w14:solidFill>
                      </w14:textFill>
                    </w:rPr>
                  </w:pPr>
                </w:p>
              </w:tc>
              <w:tc>
                <w:tcPr>
                  <w:tcW w:w="2240" w:type="dxa"/>
                  <w:tcBorders>
                    <w:bottom w:val="single" w:color="auto" w:sz="12" w:space="0"/>
                  </w:tcBorders>
                  <w:tcMar>
                    <w:left w:w="28" w:type="dxa"/>
                    <w:right w:w="28" w:type="dxa"/>
                  </w:tcMar>
                  <w:vAlign w:val="center"/>
                </w:tcPr>
                <w:p>
                  <w:pPr>
                    <w:spacing w:line="240" w:lineRule="exact"/>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环评情况</w:t>
                  </w:r>
                </w:p>
              </w:tc>
              <w:tc>
                <w:tcPr>
                  <w:tcW w:w="2524" w:type="dxa"/>
                  <w:tcBorders>
                    <w:bottom w:val="single" w:color="auto" w:sz="12" w:space="0"/>
                  </w:tcBorders>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b/>
                      <w:bCs/>
                      <w:color w:val="000000" w:themeColor="text1"/>
                      <w:kern w:val="0"/>
                      <w:sz w:val="18"/>
                      <w:szCs w:val="18"/>
                      <w14:textFill>
                        <w14:solidFill>
                          <w14:schemeClr w14:val="tx1"/>
                        </w14:solidFill>
                      </w14:textFill>
                    </w:rPr>
                    <w:t>实际建设情况</w:t>
                  </w:r>
                </w:p>
              </w:tc>
              <w:tc>
                <w:tcPr>
                  <w:tcW w:w="763" w:type="dxa"/>
                  <w:vMerge w:val="continue"/>
                  <w:tcBorders>
                    <w:bottom w:val="single" w:color="auto" w:sz="12" w:space="0"/>
                  </w:tcBorders>
                  <w:vAlign w:val="center"/>
                </w:tcPr>
                <w:p>
                  <w:pPr>
                    <w:spacing w:line="240" w:lineRule="exact"/>
                    <w:jc w:val="center"/>
                    <w:rPr>
                      <w:b/>
                      <w:bCs/>
                      <w:color w:val="000000" w:themeColor="text1"/>
                      <w:kern w:val="0"/>
                      <w:sz w:val="18"/>
                      <w:szCs w:val="18"/>
                      <w14:textFill>
                        <w14:solidFill>
                          <w14:schemeClr w14:val="tx1"/>
                        </w14:solidFill>
                      </w14:textFill>
                    </w:rPr>
                  </w:pPr>
                </w:p>
              </w:tc>
              <w:tc>
                <w:tcPr>
                  <w:tcW w:w="1119" w:type="dxa"/>
                  <w:vMerge w:val="continue"/>
                  <w:tcBorders>
                    <w:bottom w:val="single" w:color="auto" w:sz="12" w:space="0"/>
                  </w:tcBorders>
                  <w:vAlign w:val="center"/>
                </w:tcPr>
                <w:p>
                  <w:pPr>
                    <w:spacing w:line="240" w:lineRule="exact"/>
                    <w:jc w:val="center"/>
                    <w:rPr>
                      <w:b/>
                      <w:bCs/>
                      <w:color w:val="000000" w:themeColor="text1"/>
                      <w:kern w:val="0"/>
                      <w:sz w:val="18"/>
                      <w:szCs w:val="18"/>
                      <w14:textFill>
                        <w14:solidFill>
                          <w14:schemeClr w14:val="tx1"/>
                        </w14:solidFill>
                      </w14:textFill>
                    </w:rPr>
                  </w:pPr>
                </w:p>
              </w:tc>
              <w:tc>
                <w:tcPr>
                  <w:tcW w:w="586" w:type="dxa"/>
                  <w:tcBorders>
                    <w:bottom w:val="single" w:color="auto" w:sz="12" w:space="0"/>
                  </w:tcBorders>
                  <w:vAlign w:val="center"/>
                </w:tcPr>
                <w:p>
                  <w:pPr>
                    <w:pStyle w:val="49"/>
                    <w:jc w:val="center"/>
                    <w:rPr>
                      <w:b/>
                      <w:bCs/>
                      <w:color w:val="000000" w:themeColor="text1"/>
                      <w:kern w:val="0"/>
                      <w:szCs w:val="18"/>
                      <w14:textFill>
                        <w14:solidFill>
                          <w14:schemeClr w14:val="tx1"/>
                        </w14:solidFill>
                      </w14:textFill>
                    </w:rPr>
                  </w:pPr>
                  <w:r>
                    <w:rPr>
                      <w:rFonts w:eastAsiaTheme="minorEastAsia"/>
                      <w:b/>
                      <w:bCs/>
                      <w:szCs w:val="18"/>
                    </w:rPr>
                    <w:t>环评</w:t>
                  </w:r>
                </w:p>
              </w:tc>
              <w:tc>
                <w:tcPr>
                  <w:tcW w:w="627" w:type="dxa"/>
                  <w:tcBorders>
                    <w:bottom w:val="single" w:color="auto" w:sz="12" w:space="0"/>
                  </w:tcBorders>
                  <w:vAlign w:val="center"/>
                </w:tcPr>
                <w:p>
                  <w:pPr>
                    <w:pStyle w:val="49"/>
                    <w:jc w:val="center"/>
                    <w:rPr>
                      <w:b/>
                      <w:bCs/>
                      <w:color w:val="000000" w:themeColor="text1"/>
                      <w:kern w:val="0"/>
                      <w:szCs w:val="18"/>
                      <w14:textFill>
                        <w14:solidFill>
                          <w14:schemeClr w14:val="tx1"/>
                        </w14:solidFill>
                      </w14:textFill>
                    </w:rPr>
                  </w:pPr>
                  <w:r>
                    <w:rPr>
                      <w:rFonts w:eastAsiaTheme="minorEastAsia"/>
                      <w:b/>
                      <w:bCs/>
                      <w:szCs w:val="18"/>
                    </w:rPr>
                    <w:t>实际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dxa"/>
                  <w:vMerge w:val="restart"/>
                  <w:tcBorders>
                    <w:top w:val="single" w:color="auto" w:sz="12" w:space="0"/>
                  </w:tcBorders>
                  <w:vAlign w:val="center"/>
                </w:tcPr>
                <w:p>
                  <w:pPr>
                    <w:adjustRightInd w:val="0"/>
                    <w:snapToGrid w:val="0"/>
                    <w:spacing w:line="240" w:lineRule="exact"/>
                    <w:jc w:val="center"/>
                    <w:rPr>
                      <w:color w:val="000000" w:themeColor="text1"/>
                      <w:sz w:val="18"/>
                      <w:szCs w:val="18"/>
                      <w14:textFill>
                        <w14:solidFill>
                          <w14:schemeClr w14:val="tx1"/>
                        </w14:solidFill>
                      </w14:textFill>
                    </w:rPr>
                  </w:pPr>
                  <w:bookmarkStart w:id="8" w:name="OLE_LINK13" w:colFirst="3" w:colLast="4"/>
                  <w:bookmarkStart w:id="9" w:name="OLE_LINK14" w:colFirst="3" w:colLast="4"/>
                  <w:bookmarkStart w:id="10" w:name="_Hlk386588860"/>
                  <w:r>
                    <w:rPr>
                      <w:rFonts w:hint="eastAsia"/>
                      <w:color w:val="000000" w:themeColor="text1"/>
                      <w:sz w:val="18"/>
                      <w:szCs w:val="18"/>
                      <w14:textFill>
                        <w14:solidFill>
                          <w14:schemeClr w14:val="tx1"/>
                        </w14:solidFill>
                      </w14:textFill>
                    </w:rPr>
                    <w:t>运营</w:t>
                  </w:r>
                  <w:r>
                    <w:rPr>
                      <w:color w:val="000000" w:themeColor="text1"/>
                      <w:sz w:val="18"/>
                      <w:szCs w:val="18"/>
                      <w14:textFill>
                        <w14:solidFill>
                          <w14:schemeClr w14:val="tx1"/>
                        </w14:solidFill>
                      </w14:textFill>
                    </w:rPr>
                    <w:t>期</w:t>
                  </w:r>
                </w:p>
              </w:tc>
              <w:tc>
                <w:tcPr>
                  <w:tcW w:w="367" w:type="dxa"/>
                  <w:tcBorders>
                    <w:top w:val="single" w:color="auto" w:sz="12" w:space="0"/>
                  </w:tcBorders>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废气</w:t>
                  </w:r>
                </w:p>
              </w:tc>
              <w:tc>
                <w:tcPr>
                  <w:tcW w:w="575" w:type="dxa"/>
                  <w:tcBorders>
                    <w:top w:val="single" w:color="auto" w:sz="12" w:space="0"/>
                    <w:bottom w:val="single" w:color="auto" w:sz="4" w:space="0"/>
                  </w:tcBorders>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实验废气</w:t>
                  </w:r>
                </w:p>
              </w:tc>
              <w:tc>
                <w:tcPr>
                  <w:tcW w:w="2240" w:type="dxa"/>
                  <w:tcBorders>
                    <w:top w:val="single" w:color="auto" w:sz="12" w:space="0"/>
                    <w:bottom w:val="single" w:color="auto" w:sz="4" w:space="0"/>
                  </w:tcBorders>
                  <w:vAlign w:val="center"/>
                </w:tcPr>
                <w:p>
                  <w:pPr>
                    <w:adjustRightInd w:val="0"/>
                    <w:snapToGrid w:val="0"/>
                    <w:spacing w:line="240" w:lineRule="exact"/>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实验废气通过集气罩收集后经活性炭吸附处理，处理后的尾气经20m高排气筒排放</w:t>
                  </w:r>
                </w:p>
              </w:tc>
              <w:tc>
                <w:tcPr>
                  <w:tcW w:w="2524" w:type="dxa"/>
                  <w:tcBorders>
                    <w:top w:val="single" w:color="auto" w:sz="12" w:space="0"/>
                    <w:bottom w:val="single" w:color="auto" w:sz="4" w:space="0"/>
                  </w:tcBorders>
                  <w:vAlign w:val="center"/>
                </w:tcPr>
                <w:p>
                  <w:pPr>
                    <w:adjustRightInd w:val="0"/>
                    <w:snapToGrid w:val="0"/>
                    <w:spacing w:line="240" w:lineRule="exact"/>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实验废气通过集气罩收集后经活性炭吸附处理，处理后的尾气经2</w:t>
                  </w:r>
                  <w:r>
                    <w:rPr>
                      <w:rFonts w:hint="eastAsia" w:eastAsiaTheme="minorEastAsia"/>
                      <w:color w:val="000000" w:themeColor="text1"/>
                      <w:sz w:val="18"/>
                      <w:szCs w:val="18"/>
                      <w14:textFill>
                        <w14:solidFill>
                          <w14:schemeClr w14:val="tx1"/>
                        </w14:solidFill>
                      </w14:textFill>
                    </w:rPr>
                    <w:t>8</w:t>
                  </w:r>
                  <w:r>
                    <w:rPr>
                      <w:rFonts w:eastAsiaTheme="minorEastAsia"/>
                      <w:color w:val="000000" w:themeColor="text1"/>
                      <w:sz w:val="18"/>
                      <w:szCs w:val="18"/>
                      <w14:textFill>
                        <w14:solidFill>
                          <w14:schemeClr w14:val="tx1"/>
                        </w14:solidFill>
                      </w14:textFill>
                    </w:rPr>
                    <w:t>m高排气筒排放</w:t>
                  </w:r>
                </w:p>
              </w:tc>
              <w:tc>
                <w:tcPr>
                  <w:tcW w:w="763" w:type="dxa"/>
                  <w:tcBorders>
                    <w:top w:val="single" w:color="auto" w:sz="12" w:space="0"/>
                    <w:bottom w:val="single" w:color="auto" w:sz="4" w:space="0"/>
                  </w:tcBorders>
                  <w:vAlign w:val="center"/>
                </w:tcPr>
                <w:p>
                  <w:pPr>
                    <w:adjustRightInd w:val="0"/>
                    <w:snapToGrid w:val="0"/>
                    <w:spacing w:line="240" w:lineRule="exact"/>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已落实</w:t>
                  </w:r>
                </w:p>
              </w:tc>
              <w:tc>
                <w:tcPr>
                  <w:tcW w:w="1119" w:type="dxa"/>
                  <w:tcBorders>
                    <w:top w:val="single" w:color="auto" w:sz="12" w:space="0"/>
                    <w:bottom w:val="single" w:color="auto" w:sz="4" w:space="0"/>
                  </w:tcBorders>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满足《厦门市大气污染物排放标准》（DB35/323-2018）表2其他行业标准限值</w:t>
                  </w:r>
                </w:p>
              </w:tc>
              <w:tc>
                <w:tcPr>
                  <w:tcW w:w="586" w:type="dxa"/>
                  <w:tcBorders>
                    <w:top w:val="single" w:color="auto" w:sz="12" w:space="0"/>
                    <w:bottom w:val="single" w:color="auto" w:sz="4" w:space="0"/>
                  </w:tcBorders>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627" w:type="dxa"/>
                  <w:tcBorders>
                    <w:top w:val="single" w:color="auto" w:sz="12" w:space="0"/>
                    <w:bottom w:val="single" w:color="auto" w:sz="4" w:space="0"/>
                  </w:tcBorders>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r>
            <w:bookmarkEnd w:id="8"/>
            <w:bookmarkEnd w:id="9"/>
            <w:bookmarkEnd w:id="10"/>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367"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废水</w:t>
                  </w:r>
                </w:p>
              </w:tc>
              <w:tc>
                <w:tcPr>
                  <w:tcW w:w="575"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生活污水</w:t>
                  </w:r>
                </w:p>
              </w:tc>
              <w:tc>
                <w:tcPr>
                  <w:tcW w:w="2240"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sz w:val="18"/>
                    </w:rPr>
                    <w:t>先经化粪池预处理，再排入园区污水处理站处理</w:t>
                  </w:r>
                </w:p>
              </w:tc>
              <w:tc>
                <w:tcPr>
                  <w:tcW w:w="2524"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sz w:val="18"/>
                    </w:rPr>
                    <w:t>先经化粪池预处理，再排入园区污水处理站处理</w:t>
                  </w:r>
                </w:p>
              </w:tc>
              <w:tc>
                <w:tcPr>
                  <w:tcW w:w="763"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已落实</w:t>
                  </w:r>
                </w:p>
              </w:tc>
              <w:tc>
                <w:tcPr>
                  <w:tcW w:w="1119"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sz w:val="18"/>
                      <w:szCs w:val="18"/>
                    </w:rPr>
                    <w:t>满足园区污水处理站进水水质要求，园区总排口废水满足豹澥污水处理厂纳管标准</w:t>
                  </w:r>
                </w:p>
              </w:tc>
              <w:tc>
                <w:tcPr>
                  <w:tcW w:w="586" w:type="dxa"/>
                  <w:vMerge w:val="restart"/>
                  <w:vAlign w:val="center"/>
                </w:tcPr>
                <w:p>
                  <w:pPr>
                    <w:adjustRightInd w:val="0"/>
                    <w:snapToGrid w:val="0"/>
                    <w:spacing w:line="240" w:lineRule="exact"/>
                    <w:jc w:val="center"/>
                    <w:rPr>
                      <w:sz w:val="18"/>
                      <w:szCs w:val="18"/>
                    </w:rPr>
                  </w:pPr>
                  <w:r>
                    <w:rPr>
                      <w:rFonts w:hint="eastAsia"/>
                      <w:sz w:val="18"/>
                      <w:szCs w:val="18"/>
                    </w:rPr>
                    <w:t>1.0</w:t>
                  </w:r>
                </w:p>
              </w:tc>
              <w:tc>
                <w:tcPr>
                  <w:tcW w:w="627" w:type="dxa"/>
                  <w:vMerge w:val="restart"/>
                  <w:vAlign w:val="center"/>
                </w:tcPr>
                <w:p>
                  <w:pPr>
                    <w:adjustRightInd w:val="0"/>
                    <w:snapToGrid w:val="0"/>
                    <w:spacing w:line="240" w:lineRule="exact"/>
                    <w:jc w:val="center"/>
                    <w:rPr>
                      <w:sz w:val="18"/>
                      <w:szCs w:val="18"/>
                    </w:rPr>
                  </w:pPr>
                  <w:r>
                    <w:rPr>
                      <w:rFonts w:hint="eastAsia"/>
                      <w:sz w:val="18"/>
                      <w:szCs w:val="18"/>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367"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575"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实验废水</w:t>
                  </w:r>
                </w:p>
              </w:tc>
              <w:tc>
                <w:tcPr>
                  <w:tcW w:w="224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2524"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763" w:type="dxa"/>
                  <w:vMerge w:val="continue"/>
                  <w:vAlign w:val="center"/>
                </w:tcPr>
                <w:p>
                  <w:pPr>
                    <w:adjustRightInd w:val="0"/>
                    <w:snapToGrid w:val="0"/>
                    <w:spacing w:line="240" w:lineRule="exact"/>
                    <w:jc w:val="center"/>
                    <w:rPr>
                      <w:rFonts w:eastAsiaTheme="minorEastAsia"/>
                      <w:color w:val="000000" w:themeColor="text1"/>
                      <w:sz w:val="18"/>
                      <w:szCs w:val="18"/>
                      <w14:textFill>
                        <w14:solidFill>
                          <w14:schemeClr w14:val="tx1"/>
                        </w14:solidFill>
                      </w14:textFill>
                    </w:rPr>
                  </w:pPr>
                </w:p>
              </w:tc>
              <w:tc>
                <w:tcPr>
                  <w:tcW w:w="1119"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586"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627"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367"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噪声</w:t>
                  </w:r>
                </w:p>
              </w:tc>
              <w:tc>
                <w:tcPr>
                  <w:tcW w:w="575"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设备噪声</w:t>
                  </w:r>
                </w:p>
              </w:tc>
              <w:tc>
                <w:tcPr>
                  <w:tcW w:w="2240" w:type="dxa"/>
                  <w:vAlign w:val="center"/>
                </w:tcPr>
                <w:p>
                  <w:pPr>
                    <w:spacing w:line="240" w:lineRule="exact"/>
                    <w:jc w:val="center"/>
                    <w:rPr>
                      <w:sz w:val="18"/>
                    </w:rPr>
                  </w:pPr>
                  <w:r>
                    <w:rPr>
                      <w:sz w:val="18"/>
                    </w:rPr>
                    <w:t>采用低噪声设备，合理平面布置、减震消声、墙体隔声等措施处理</w:t>
                  </w:r>
                </w:p>
              </w:tc>
              <w:tc>
                <w:tcPr>
                  <w:tcW w:w="2524" w:type="dxa"/>
                  <w:vAlign w:val="center"/>
                </w:tcPr>
                <w:p>
                  <w:pPr>
                    <w:spacing w:line="240" w:lineRule="exact"/>
                    <w:jc w:val="center"/>
                    <w:rPr>
                      <w:sz w:val="18"/>
                    </w:rPr>
                  </w:pPr>
                  <w:r>
                    <w:rPr>
                      <w:sz w:val="18"/>
                    </w:rPr>
                    <w:t>采用低噪声设备，合理平面布置、减震消声、墙体隔声等措施处理</w:t>
                  </w:r>
                </w:p>
              </w:tc>
              <w:tc>
                <w:tcPr>
                  <w:tcW w:w="763"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已落实</w:t>
                  </w:r>
                </w:p>
              </w:tc>
              <w:tc>
                <w:tcPr>
                  <w:tcW w:w="1119"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满足《工业企业厂界环境噪声排放标准》（GB12348-2008）中“3类”标准限值要求</w:t>
                  </w:r>
                </w:p>
              </w:tc>
              <w:tc>
                <w:tcPr>
                  <w:tcW w:w="586"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4.0</w:t>
                  </w:r>
                </w:p>
              </w:tc>
              <w:tc>
                <w:tcPr>
                  <w:tcW w:w="627"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367"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固体废物</w:t>
                  </w:r>
                </w:p>
              </w:tc>
              <w:tc>
                <w:tcPr>
                  <w:tcW w:w="575" w:type="dxa"/>
                  <w:vAlign w:val="center"/>
                </w:tcPr>
                <w:p>
                  <w:pPr>
                    <w:spacing w:line="240" w:lineRule="exact"/>
                    <w:jc w:val="center"/>
                    <w:rPr>
                      <w:color w:val="000000" w:themeColor="text1"/>
                      <w:sz w:val="18"/>
                      <w:szCs w:val="18"/>
                      <w14:textFill>
                        <w14:solidFill>
                          <w14:schemeClr w14:val="tx1"/>
                        </w14:solidFill>
                      </w14:textFill>
                    </w:rPr>
                  </w:pPr>
                  <w:r>
                    <w:rPr>
                      <w:sz w:val="18"/>
                      <w:szCs w:val="18"/>
                    </w:rPr>
                    <w:t>办公垃圾</w:t>
                  </w:r>
                </w:p>
              </w:tc>
              <w:tc>
                <w:tcPr>
                  <w:tcW w:w="2240" w:type="dxa"/>
                  <w:vAlign w:val="center"/>
                </w:tcPr>
                <w:p>
                  <w:pPr>
                    <w:spacing w:line="240" w:lineRule="exact"/>
                    <w:jc w:val="center"/>
                    <w:rPr>
                      <w:color w:val="000000" w:themeColor="text1"/>
                      <w:sz w:val="18"/>
                      <w:szCs w:val="18"/>
                      <w14:textFill>
                        <w14:solidFill>
                          <w14:schemeClr w14:val="tx1"/>
                        </w14:solidFill>
                      </w14:textFill>
                    </w:rPr>
                  </w:pPr>
                  <w:r>
                    <w:rPr>
                      <w:sz w:val="18"/>
                      <w:szCs w:val="18"/>
                    </w:rPr>
                    <w:t>设置垃圾桶（袋）储存，由环卫部门定期清理处理</w:t>
                  </w:r>
                </w:p>
              </w:tc>
              <w:tc>
                <w:tcPr>
                  <w:tcW w:w="2524" w:type="dxa"/>
                  <w:vAlign w:val="center"/>
                </w:tcPr>
                <w:p>
                  <w:pPr>
                    <w:spacing w:line="240" w:lineRule="exact"/>
                    <w:jc w:val="center"/>
                    <w:rPr>
                      <w:color w:val="000000" w:themeColor="text1"/>
                      <w:sz w:val="18"/>
                      <w:szCs w:val="18"/>
                      <w14:textFill>
                        <w14:solidFill>
                          <w14:schemeClr w14:val="tx1"/>
                        </w14:solidFill>
                      </w14:textFill>
                    </w:rPr>
                  </w:pPr>
                  <w:r>
                    <w:rPr>
                      <w:sz w:val="18"/>
                      <w:szCs w:val="18"/>
                    </w:rPr>
                    <w:t>设置垃圾桶（袋）储存，由环卫部门定期清理处理</w:t>
                  </w:r>
                </w:p>
              </w:tc>
              <w:tc>
                <w:tcPr>
                  <w:tcW w:w="763"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已落实</w:t>
                  </w:r>
                </w:p>
              </w:tc>
              <w:tc>
                <w:tcPr>
                  <w:tcW w:w="1119"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不外排</w:t>
                  </w:r>
                </w:p>
              </w:tc>
              <w:tc>
                <w:tcPr>
                  <w:tcW w:w="586"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627" w:type="dxa"/>
                  <w:vMerge w:val="restart"/>
                  <w:vAlign w:val="center"/>
                </w:tcPr>
                <w:p>
                  <w:pPr>
                    <w:adjustRightInd w:val="0"/>
                    <w:snapToGrid w:val="0"/>
                    <w:spacing w:line="24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367"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575" w:type="dxa"/>
                  <w:vAlign w:val="center"/>
                </w:tcPr>
                <w:p>
                  <w:pPr>
                    <w:spacing w:line="240" w:lineRule="exact"/>
                    <w:jc w:val="center"/>
                    <w:rPr>
                      <w:sz w:val="18"/>
                    </w:rPr>
                  </w:pPr>
                  <w:r>
                    <w:rPr>
                      <w:sz w:val="18"/>
                      <w:szCs w:val="18"/>
                    </w:rPr>
                    <w:t>一般工业固废</w:t>
                  </w:r>
                </w:p>
              </w:tc>
              <w:tc>
                <w:tcPr>
                  <w:tcW w:w="2240" w:type="dxa"/>
                  <w:vAlign w:val="center"/>
                </w:tcPr>
                <w:p>
                  <w:pPr>
                    <w:spacing w:line="240" w:lineRule="exact"/>
                    <w:jc w:val="center"/>
                    <w:rPr>
                      <w:sz w:val="18"/>
                    </w:rPr>
                  </w:pPr>
                  <w:r>
                    <w:rPr>
                      <w:sz w:val="18"/>
                      <w:szCs w:val="18"/>
                    </w:rPr>
                    <w:t>废滤芯由厂家回收；废复合包装材料交由环卫部门清运处理</w:t>
                  </w:r>
                </w:p>
              </w:tc>
              <w:tc>
                <w:tcPr>
                  <w:tcW w:w="2524" w:type="dxa"/>
                  <w:vAlign w:val="center"/>
                </w:tcPr>
                <w:p>
                  <w:pPr>
                    <w:spacing w:line="240" w:lineRule="exact"/>
                    <w:jc w:val="center"/>
                    <w:rPr>
                      <w:sz w:val="18"/>
                    </w:rPr>
                  </w:pPr>
                  <w:r>
                    <w:rPr>
                      <w:sz w:val="18"/>
                      <w:szCs w:val="18"/>
                    </w:rPr>
                    <w:t>废滤芯由厂家回收；废复合包装材料交由环卫部门清运处理</w:t>
                  </w:r>
                </w:p>
              </w:tc>
              <w:tc>
                <w:tcPr>
                  <w:tcW w:w="763" w:type="dxa"/>
                  <w:vAlign w:val="center"/>
                </w:tcPr>
                <w:p>
                  <w:pPr>
                    <w:adjustRightInd w:val="0"/>
                    <w:snapToGrid w:val="0"/>
                    <w:spacing w:line="240" w:lineRule="exact"/>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已落实</w:t>
                  </w:r>
                </w:p>
              </w:tc>
              <w:tc>
                <w:tcPr>
                  <w:tcW w:w="1119"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不外排</w:t>
                  </w:r>
                </w:p>
              </w:tc>
              <w:tc>
                <w:tcPr>
                  <w:tcW w:w="586"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627"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0"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367"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575" w:type="dxa"/>
                  <w:vAlign w:val="center"/>
                </w:tcPr>
                <w:p>
                  <w:pPr>
                    <w:spacing w:line="240" w:lineRule="exact"/>
                    <w:jc w:val="center"/>
                    <w:rPr>
                      <w:sz w:val="18"/>
                    </w:rPr>
                  </w:pPr>
                  <w:r>
                    <w:rPr>
                      <w:sz w:val="18"/>
                      <w:szCs w:val="18"/>
                    </w:rPr>
                    <w:t>危险废物</w:t>
                  </w:r>
                </w:p>
              </w:tc>
              <w:tc>
                <w:tcPr>
                  <w:tcW w:w="2240" w:type="dxa"/>
                  <w:vAlign w:val="center"/>
                </w:tcPr>
                <w:p>
                  <w:pPr>
                    <w:spacing w:line="240" w:lineRule="exact"/>
                    <w:jc w:val="center"/>
                    <w:rPr>
                      <w:sz w:val="18"/>
                    </w:rPr>
                  </w:pPr>
                  <w:r>
                    <w:rPr>
                      <w:sz w:val="18"/>
                      <w:szCs w:val="18"/>
                    </w:rPr>
                    <w:t>设立4.0m</w:t>
                  </w:r>
                  <w:r>
                    <w:rPr>
                      <w:sz w:val="18"/>
                      <w:szCs w:val="18"/>
                      <w:vertAlign w:val="superscript"/>
                    </w:rPr>
                    <w:t>2</w:t>
                  </w:r>
                  <w:r>
                    <w:rPr>
                      <w:sz w:val="18"/>
                      <w:szCs w:val="18"/>
                    </w:rPr>
                    <w:t>危险废物暂存间1个，危废暂存于危废暂存间，委托具有资质单位安全处置</w:t>
                  </w:r>
                </w:p>
              </w:tc>
              <w:tc>
                <w:tcPr>
                  <w:tcW w:w="2524" w:type="dxa"/>
                  <w:vAlign w:val="center"/>
                </w:tcPr>
                <w:p>
                  <w:pPr>
                    <w:spacing w:line="240" w:lineRule="exact"/>
                    <w:jc w:val="center"/>
                    <w:rPr>
                      <w:sz w:val="18"/>
                    </w:rPr>
                  </w:pPr>
                  <w:r>
                    <w:rPr>
                      <w:sz w:val="18"/>
                      <w:szCs w:val="18"/>
                    </w:rPr>
                    <w:t>设立4.0m</w:t>
                  </w:r>
                  <w:r>
                    <w:rPr>
                      <w:sz w:val="18"/>
                      <w:szCs w:val="18"/>
                      <w:vertAlign w:val="superscript"/>
                    </w:rPr>
                    <w:t>2</w:t>
                  </w:r>
                  <w:r>
                    <w:rPr>
                      <w:sz w:val="18"/>
                      <w:szCs w:val="18"/>
                    </w:rPr>
                    <w:t>危险废物暂存间1个，危废暂存于危废暂存间，委托具有资质单位安全处置</w:t>
                  </w:r>
                </w:p>
              </w:tc>
              <w:tc>
                <w:tcPr>
                  <w:tcW w:w="763" w:type="dxa"/>
                  <w:vAlign w:val="center"/>
                </w:tcPr>
                <w:p>
                  <w:pPr>
                    <w:adjustRightInd w:val="0"/>
                    <w:snapToGrid w:val="0"/>
                    <w:spacing w:line="240" w:lineRule="exact"/>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已落实</w:t>
                  </w:r>
                </w:p>
              </w:tc>
              <w:tc>
                <w:tcPr>
                  <w:tcW w:w="1119" w:type="dxa"/>
                  <w:vAlign w:val="center"/>
                </w:tcPr>
                <w:p>
                  <w:pPr>
                    <w:adjustRightInd w:val="0"/>
                    <w:snapToGrid w:val="0"/>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不外排</w:t>
                  </w:r>
                </w:p>
              </w:tc>
              <w:tc>
                <w:tcPr>
                  <w:tcW w:w="586"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c>
                <w:tcPr>
                  <w:tcW w:w="627" w:type="dxa"/>
                  <w:vMerge w:val="continue"/>
                  <w:vAlign w:val="center"/>
                </w:tcPr>
                <w:p>
                  <w:pPr>
                    <w:adjustRightInd w:val="0"/>
                    <w:snapToGrid w:val="0"/>
                    <w:spacing w:line="240" w:lineRule="exact"/>
                    <w:jc w:val="center"/>
                    <w:rPr>
                      <w:color w:val="000000" w:themeColor="text1"/>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58" w:type="dxa"/>
                  <w:gridSpan w:val="7"/>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合计</w:t>
                  </w:r>
                </w:p>
              </w:tc>
              <w:tc>
                <w:tcPr>
                  <w:tcW w:w="586" w:type="dxa"/>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14</w:t>
                  </w:r>
                </w:p>
              </w:tc>
              <w:tc>
                <w:tcPr>
                  <w:tcW w:w="627" w:type="dxa"/>
                  <w:vAlign w:val="center"/>
                </w:tcPr>
                <w:p>
                  <w:pPr>
                    <w:adjustRightInd w:val="0"/>
                    <w:snapToGrid w:val="0"/>
                    <w:spacing w:line="24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15</w:t>
                  </w:r>
                </w:p>
              </w:tc>
            </w:tr>
          </w:tbl>
          <w:p>
            <w:pPr>
              <w:spacing w:line="360" w:lineRule="auto"/>
              <w:ind w:right="178" w:rightChars="85"/>
              <w:rPr>
                <w:color w:val="000000" w:themeColor="text1"/>
                <w:sz w:val="24"/>
                <w14:textFill>
                  <w14:solidFill>
                    <w14:schemeClr w14:val="tx1"/>
                  </w14:solidFill>
                </w14:textFill>
              </w:rPr>
            </w:pPr>
          </w:p>
        </w:tc>
      </w:tr>
    </w:tbl>
    <w:p>
      <w:pPr>
        <w:pStyle w:val="5"/>
        <w:rPr>
          <w:rFonts w:ascii="Times New Roman" w:hAnsi="Times New Roman"/>
          <w:color w:val="000000" w:themeColor="text1"/>
          <w14:textFill>
            <w14:solidFill>
              <w14:schemeClr w14:val="tx1"/>
            </w14:solidFill>
          </w14:textFill>
        </w:rPr>
      </w:pPr>
      <w:bookmarkStart w:id="11" w:name="_Toc525552349"/>
      <w:r>
        <w:rPr>
          <w:rFonts w:ascii="Times New Roman" w:hAnsi="Times New Roman"/>
          <w:color w:val="000000" w:themeColor="text1"/>
          <w14:textFill>
            <w14:solidFill>
              <w14:schemeClr w14:val="tx1"/>
            </w14:solidFill>
          </w14:textFill>
        </w:rPr>
        <w:t>表四  环评报告表的主要结论与环评批复要求</w:t>
      </w:r>
      <w:bookmarkEnd w:id="11"/>
    </w:p>
    <w:tbl>
      <w:tblPr>
        <w:tblStyle w:val="28"/>
        <w:tblW w:w="9286"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3295" w:hRule="atLeast"/>
        </w:trPr>
        <w:tc>
          <w:tcPr>
            <w:tcW w:w="9286" w:type="dxa"/>
            <w:shd w:val="clear" w:color="auto" w:fill="auto"/>
          </w:tcPr>
          <w:p>
            <w:pPr>
              <w:spacing w:line="360" w:lineRule="auto"/>
              <w:ind w:right="178" w:rightChars="85"/>
              <w:rPr>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4.1环评报告表的主要结论与建议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受建设单位委托，武汉智汇元环保科技有限公司于2020年9月对</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编制了《新型无血清培养基研发项目二期环境影响报告表》，现将“报告表”主要结论摘录如下：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（1）废气</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运营期主要废气为研发实验室废气，主要为甲醇、乙醇等机溶剂挥发气体。研发及检测过程中使用到有机挥发性试剂，如乙醇、甲醇等，其中表达载体构建过程中裂解液配制用到乙醇，诱导蛋白表达过程中配制诱导培养基过程用到甲醇，述操作均在配液间通风橱柜内进行，操作完毕后用95%医用酒精进行喷壶消毒，在这些试剂使用过程中主要产生甲醇、乙醇等以VOC</w:t>
            </w:r>
            <w:r>
              <w:rPr>
                <w:color w:val="000000" w:themeColor="text1"/>
                <w:sz w:val="24"/>
                <w:vertAlign w:val="subscript"/>
                <w14:textFill>
                  <w14:solidFill>
                    <w14:schemeClr w14:val="tx1"/>
                  </w14:solidFill>
                </w14:textFill>
              </w:rPr>
              <w:t>S</w:t>
            </w:r>
            <w:r>
              <w:rPr>
                <w:color w:val="000000" w:themeColor="text1"/>
                <w:sz w:val="24"/>
                <w14:textFill>
                  <w14:solidFill>
                    <w14:schemeClr w14:val="tx1"/>
                  </w14:solidFill>
                </w14:textFill>
              </w:rPr>
              <w:t>表征废气污染物。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实验过程产生的VOCs经集气罩收集后经排风机抽至所在楼栋预留风井内管道通往楼顶（排气筒高度约2</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m），经活性炭吸附（吸附效率按90%计））后排放，风机排风量不小于2500m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/h，排放浓度为5.4 mg/m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、排放速率为0.014kg/h，排放量为6.75kg/a，均满足《厦门市大气污染物排放标准》（DB35/323-2018）表2其他行业标准限值要求。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（2）废水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废水主要为生活污水和研发废水（主要为地面清洗废水、器皿(经高压灭菌后)清洗废水、工衣清洗废水和纯水制备过程中产生的浓水、配液废水），其中项目配液废水全部进入危废。项目生活污水与研发废水经C4栋内排水管网排入园区内化粪池处理后，再进入园区污水处理站处理，处理达标后排入市政管网，进入豹澥污水处理厂，处理达标后外排长江武汉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拟建项目废水排放能够满足生物医药园中小企业园服务中心污水处理设施的进水质要求，且建设单位已于园区签订废水接纳协议，因此项目废水可依托园区污水处理站。废水经园区污水管网进入园区污水处理设施处理后，能够满足豹澥污水处理厂纳管浓度标准的要求，尾水排入长江武汉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（3）噪声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噪声源为各类实验设备，噪声值约70~80dB（A），设备经减震消声、墙体隔声等措施处理后，项目东、南、西、北厂界均能满足《工业企业厂界环境噪声排放标准》（GB12348-2008）3类标准的要求（昼间65dB（A），夜间55dB（A））。</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（4）固废</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固体废物包括办公生活垃圾、工业固体废物和危险废物。办公生活垃圾经集中收集后，统一由环卫部门定期清运。工业固体废物主要包括生产过程中产生的废复合包装材料和废滤芯。其中废复合包装材料交由环卫部门清运处理，废滤芯由纯水制备系统厂家回收。危险废物主要为实验废液（废培养液、废缓冲液及残液等）、废实验器具和废弃的试剂包装容器、废活性炭等，委托有资质单位安全处置。各项固体废物均合理处置不外排，不会对周边环境及敏感点产生影响。</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（5）产业政策及城市规划符合性</w:t>
            </w:r>
          </w:p>
          <w:p>
            <w:pPr>
              <w:spacing w:line="360" w:lineRule="auto"/>
              <w:ind w:firstLine="480" w:firstLineChars="200"/>
              <w:rPr>
                <w:color w:val="000000" w:themeColor="text1"/>
                <w:sz w:val="24"/>
                <w:lang w:val="zh-CN"/>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为新型无血清培养基研发项目，主要内容为实验研发。</w:t>
            </w:r>
            <w:r>
              <w:rPr>
                <w:color w:val="000000" w:themeColor="text1"/>
                <w:sz w:val="24"/>
                <w:lang w:val="zh-CN"/>
                <w14:textFill>
                  <w14:solidFill>
                    <w14:schemeClr w14:val="tx1"/>
                  </w14:solidFill>
                </w14:textFill>
              </w:rPr>
              <w:t>根据产业结构调整指导目录（2019年本）》（国家发展和改革委员会令第29号），</w:t>
            </w:r>
            <w:r>
              <w:rPr>
                <w:rFonts w:hint="eastAsia"/>
                <w:color w:val="000000" w:themeColor="text1"/>
                <w:sz w:val="24"/>
                <w:lang w:val="zh-CN"/>
                <w14:textFill>
                  <w14:solidFill>
                    <w14:schemeClr w14:val="tx1"/>
                  </w14:solidFill>
                </w14:textFill>
              </w:rPr>
              <w:t>项目</w:t>
            </w:r>
            <w:r>
              <w:rPr>
                <w:color w:val="000000" w:themeColor="text1"/>
                <w:sz w:val="24"/>
                <w:lang w:val="zh-CN"/>
                <w14:textFill>
                  <w14:solidFill>
                    <w14:schemeClr w14:val="tx1"/>
                  </w14:solidFill>
                </w14:textFill>
              </w:rPr>
              <w:t>不属于鼓励类、限制类和淘汰类项目，为允许类。因此，项目符合国家产业政策。</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符合《东湖国家自主创新示范区总体规划（2011～2020年）》要求；对照对照《武汉市大光谷板块综合规划及近期实施规划环境影响报告书》，</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属于允许类，符合《武汉市大光谷板块综合规划及近期实施规划环境影响报告书》相关要求。项目用地性质为工业性质，符合土地利用规划；项目符合《武汉国家生物产业（九龙产业）基地规划》、《武汉光谷生物医药产业园发展有限公司武汉光谷生物医药中小企业园（一期）环境影响报告表》及其批复相关要求；项目属于城镇集中建设区，符合《武汉市基本生态控制线管理条例》要求；项目不涉及生态红线，满足“三线一单”相关要求。项目属于重点管控区，满足《省人民政府关于加快实施“三线一单”生态环境分区管控的意见公告》（鄂政发〔2020〕21号）相关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（6）总量控制分析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根据国家对实施污染物排放总量控制的要求以及</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污染物排放特点，确定</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污染物排放总量控制因子为废水为COD、NH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两项，废气为VOCs一项。根据武汉市生态环境局《关于进一步做好建设项目重点污染物排放总量指标审核和替代有关工作的通知》（武环[2019]50号），除城镇（乡、村）生活污水处理厂、垃圾处理场（不含垃圾焚烧发电厂）、危险废物和医疗废物处置厂、污水进入城镇污水处理厂的非工业项目（仅限于水污染物指标）等建设项目外，按照法律法规要求需要进行环境影响评价审批并新增重点污染物排放的建设项目，均纳入总量替代工作范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COD排放量0.027t/a、NH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-N排放量0.003t/a，项目不属于工业项目，且污水可排入豹澥污水处理厂处理达标后排放，因此</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不需申请COD、NH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-N总量控制指标。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根据项目工程分析，</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VOC</w:t>
            </w:r>
            <w:r>
              <w:rPr>
                <w:color w:val="000000" w:themeColor="text1"/>
                <w:sz w:val="24"/>
                <w:vertAlign w:val="subscript"/>
                <w14:textFill>
                  <w14:solidFill>
                    <w14:schemeClr w14:val="tx1"/>
                  </w14:solidFill>
                </w14:textFill>
              </w:rPr>
              <w:t>S</w:t>
            </w:r>
            <w:r>
              <w:rPr>
                <w:color w:val="000000" w:themeColor="text1"/>
                <w:sz w:val="24"/>
                <w14:textFill>
                  <w14:solidFill>
                    <w14:schemeClr w14:val="tx1"/>
                  </w14:solidFill>
                </w14:textFill>
              </w:rPr>
              <w:t>排放量0.00675t/a，建议总量控制指标为0.00675t/a。根据《建设项目主要污染物排放总量指标审核及管理暂行办法》（环发[2014]197号）有关规定，</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所需替代的总量为挥发性有机物0.0135t/a。根据武汉东湖新技术开发区生态环境和水务湖泊局出具的《关于武汉普诺赛生命科技有限公司新型无血清培养基研发项目二期污染物总量指标来源的回复》，项目新增挥发性有机物0.00675t/a，所需替代的挥发性有机物总量为0.0135t/a，来源于武汉市裕同印刷包装有限高新四路分公司的关停。</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（7）项目建设环境可行性结论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在建成运行以后会对环境产生一定影响，建设单位在严格执行“三同时”制度，全面落实项目建设内容和本报告中所规定的各项污染防治措施后，项目对周围环境的影响可以控制在国家有关标准和要求的允许范围以内。该项目符合国家产业政策，工程选址符合总体规划，建设项目总体能遵循达标排放的环保政策要求。从环境保护角度分析，该项目的实施具有可行性。</w:t>
            </w:r>
          </w:p>
          <w:p>
            <w:pPr>
              <w:pStyle w:val="87"/>
              <w:spacing w:line="360" w:lineRule="auto"/>
              <w:ind w:firstLine="0" w:firstLineChars="0"/>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4.2审批部门审批意见</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于2021年1月20日由武汉东湖新技术开发区生态环境和水务湖泊局审批通过，并出具审批意见（武新环告[2021]7号），其批复如下：</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一、</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委托武汉智汇元环保科技有限公司编制的《武汉普诺赛生命科技有限公司新型无血清培养基研发项目二期环境影响报告表》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以下简称《报告表》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收悉。根据《市环保局关于印发武汉市工程建设项目环境影响报告表实行告知承诺制实施方案的通知》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武环</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2018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77号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和《省生态环境厅关于调整建设项目环境影响评价文件审批权限等事项的通知》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鄂环</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64号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，该项目</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项目代码2018-420118-73-03-067452</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实行告知承诺制，我局对《报告表》不作实质性审查，直接出具审批意见。根据你公司承诺和《报告表》结论，你公司可以按《报告表》所列建设项目性质、规模、地点、以及拟采取的环保措施建设，项目实施相关法律责任由你公司自行承担。</w:t>
            </w:r>
          </w:p>
          <w:p>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二、武汉普诺赛生命科技有限公司应当严格落实报告表提出的防止污染和防止生态破坏的措施，严格执行配套建设的环保设施与主体工程同时设计、同时施工、同时投入使用的环保“三同时”制度，应做到各类污染物达标排放。项目竣工后，应按规定开展环境保护验收.经验收合格后，项目方可正式投入生产或者使用。</w:t>
            </w:r>
          </w:p>
        </w:tc>
      </w:tr>
    </w:tbl>
    <w:p>
      <w:pPr>
        <w:pStyle w:val="5"/>
        <w:rPr>
          <w:rFonts w:ascii="Times New Roman" w:hAnsi="Times New Roman"/>
          <w:color w:val="000000" w:themeColor="text1"/>
          <w14:textFill>
            <w14:solidFill>
              <w14:schemeClr w14:val="tx1"/>
            </w14:solidFill>
          </w14:textFill>
        </w:rPr>
      </w:pPr>
      <w:bookmarkStart w:id="12" w:name="_Toc525552350"/>
      <w:r>
        <w:rPr>
          <w:rFonts w:ascii="Times New Roman" w:hAnsi="Times New Roman"/>
          <w:color w:val="000000" w:themeColor="text1"/>
          <w14:textFill>
            <w14:solidFill>
              <w14:schemeClr w14:val="tx1"/>
            </w14:solidFill>
          </w14:textFill>
        </w:rPr>
        <w:t>表五  验收监测质量保证及质量控制</w:t>
      </w:r>
      <w:bookmarkEnd w:id="12"/>
    </w:p>
    <w:tbl>
      <w:tblPr>
        <w:tblStyle w:val="28"/>
        <w:tblW w:w="928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167" w:hRule="atLeast"/>
        </w:trPr>
        <w:tc>
          <w:tcPr>
            <w:tcW w:w="9286" w:type="dxa"/>
            <w:shd w:val="clear" w:color="auto" w:fill="auto"/>
          </w:tcPr>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5.1监测分析方法及仪器设备</w:t>
            </w:r>
          </w:p>
          <w:p>
            <w:pPr>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验收监测分析方法见表5-1。</w:t>
            </w:r>
          </w:p>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表5-1监测分析方法一览表</w:t>
            </w:r>
          </w:p>
          <w:tbl>
            <w:tblPr>
              <w:tblStyle w:val="2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98"/>
              <w:gridCol w:w="1421"/>
              <w:gridCol w:w="2721"/>
              <w:gridCol w:w="3022"/>
              <w:gridCol w:w="9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78" w:hRule="atLeast"/>
                <w:tblHeader/>
                <w:jc w:val="center"/>
              </w:trPr>
              <w:tc>
                <w:tcPr>
                  <w:tcW w:w="550" w:type="pct"/>
                  <w:tcBorders>
                    <w:bottom w:val="single" w:color="auto" w:sz="12" w:space="0"/>
                  </w:tcBorders>
                  <w:tcMar>
                    <w:left w:w="45" w:type="dxa"/>
                    <w:right w:w="45" w:type="dxa"/>
                  </w:tcMar>
                  <w:vAlign w:val="center"/>
                </w:tcPr>
                <w:p>
                  <w:pPr>
                    <w:spacing w:line="240" w:lineRule="atLeas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检测类别</w:t>
                  </w:r>
                </w:p>
              </w:tc>
              <w:tc>
                <w:tcPr>
                  <w:tcW w:w="783" w:type="pct"/>
                  <w:tcBorders>
                    <w:bottom w:val="single" w:color="auto" w:sz="12" w:space="0"/>
                  </w:tcBorders>
                  <w:vAlign w:val="center"/>
                </w:tcPr>
                <w:p>
                  <w:pPr>
                    <w:spacing w:line="240" w:lineRule="atLeas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检</w:t>
                  </w:r>
                  <w:r>
                    <w:rPr>
                      <w:b/>
                      <w:bCs/>
                      <w:color w:val="000000" w:themeColor="text1"/>
                      <w:sz w:val="18"/>
                      <w:szCs w:val="18"/>
                      <w14:textFill>
                        <w14:solidFill>
                          <w14:schemeClr w14:val="tx1"/>
                        </w14:solidFill>
                      </w14:textFill>
                    </w:rPr>
                    <w:t>测项目</w:t>
                  </w:r>
                </w:p>
              </w:tc>
              <w:tc>
                <w:tcPr>
                  <w:tcW w:w="1500" w:type="pct"/>
                  <w:tcBorders>
                    <w:bottom w:val="single" w:color="auto" w:sz="12" w:space="0"/>
                  </w:tcBorders>
                  <w:tcMar>
                    <w:top w:w="0" w:type="dxa"/>
                    <w:left w:w="23" w:type="dxa"/>
                    <w:bottom w:w="0" w:type="dxa"/>
                    <w:right w:w="23" w:type="dxa"/>
                  </w:tcMar>
                  <w:vAlign w:val="center"/>
                </w:tcPr>
                <w:p>
                  <w:pPr>
                    <w:spacing w:line="240" w:lineRule="atLeas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检</w:t>
                  </w:r>
                  <w:r>
                    <w:rPr>
                      <w:b/>
                      <w:bCs/>
                      <w:color w:val="000000" w:themeColor="text1"/>
                      <w:sz w:val="18"/>
                      <w:szCs w:val="18"/>
                      <w14:textFill>
                        <w14:solidFill>
                          <w14:schemeClr w14:val="tx1"/>
                        </w14:solidFill>
                      </w14:textFill>
                    </w:rPr>
                    <w:t>测方法及依据</w:t>
                  </w:r>
                </w:p>
              </w:tc>
              <w:tc>
                <w:tcPr>
                  <w:tcW w:w="1666" w:type="pct"/>
                  <w:tcBorders>
                    <w:bottom w:val="single" w:color="auto" w:sz="12" w:space="0"/>
                  </w:tcBorders>
                  <w:tcMar>
                    <w:left w:w="45" w:type="dxa"/>
                    <w:right w:w="45" w:type="dxa"/>
                  </w:tcMar>
                  <w:vAlign w:val="center"/>
                </w:tcPr>
                <w:p>
                  <w:pPr>
                    <w:spacing w:line="240" w:lineRule="atLeas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分析仪器设备型号、编号</w:t>
                  </w:r>
                </w:p>
              </w:tc>
              <w:tc>
                <w:tcPr>
                  <w:tcW w:w="498" w:type="pct"/>
                  <w:tcBorders>
                    <w:bottom w:val="single" w:color="auto" w:sz="12" w:space="0"/>
                  </w:tcBorders>
                  <w:vAlign w:val="center"/>
                </w:tcPr>
                <w:p>
                  <w:pPr>
                    <w:spacing w:line="240" w:lineRule="atLeas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vMerge w:val="restart"/>
                  <w:tcBorders>
                    <w:top w:val="single" w:color="auto" w:sz="12" w:space="0"/>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废水</w:t>
                  </w:r>
                </w:p>
              </w:tc>
              <w:tc>
                <w:tcPr>
                  <w:tcW w:w="783" w:type="pct"/>
                  <w:tcBorders>
                    <w:top w:val="single" w:color="auto" w:sz="12" w:space="0"/>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p</w:t>
                  </w:r>
                  <w:r>
                    <w:rPr>
                      <w:color w:val="000000" w:themeColor="text1"/>
                      <w:sz w:val="18"/>
                      <w:szCs w:val="18"/>
                      <w14:textFill>
                        <w14:solidFill>
                          <w14:schemeClr w14:val="tx1"/>
                        </w14:solidFill>
                      </w14:textFill>
                    </w:rPr>
                    <w:t>H</w:t>
                  </w:r>
                  <w:r>
                    <w:rPr>
                      <w:rFonts w:hint="eastAsia"/>
                      <w:color w:val="000000" w:themeColor="text1"/>
                      <w:sz w:val="18"/>
                      <w:szCs w:val="18"/>
                      <w14:textFill>
                        <w14:solidFill>
                          <w14:schemeClr w14:val="tx1"/>
                        </w14:solidFill>
                      </w14:textFill>
                    </w:rPr>
                    <w:t>（无量纲）</w:t>
                  </w:r>
                </w:p>
              </w:tc>
              <w:tc>
                <w:tcPr>
                  <w:tcW w:w="1500" w:type="pct"/>
                  <w:tcBorders>
                    <w:top w:val="single" w:color="auto" w:sz="12" w:space="0"/>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电极法</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HJ 1147-2020</w:t>
                  </w:r>
                  <w:r>
                    <w:rPr>
                      <w:rFonts w:hint="eastAsia"/>
                      <w:color w:val="000000" w:themeColor="text1"/>
                      <w:sz w:val="18"/>
                      <w:szCs w:val="18"/>
                      <w14:textFill>
                        <w14:solidFill>
                          <w14:schemeClr w14:val="tx1"/>
                        </w14:solidFill>
                      </w14:textFill>
                    </w:rPr>
                    <w:t>）</w:t>
                  </w:r>
                </w:p>
              </w:tc>
              <w:tc>
                <w:tcPr>
                  <w:tcW w:w="1666" w:type="pct"/>
                  <w:tcBorders>
                    <w:top w:val="single" w:color="auto" w:sz="12" w:space="0"/>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C-200便携式七合一测试仪</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YHJC-CY-0</w:t>
                  </w:r>
                  <w:r>
                    <w:rPr>
                      <w:rFonts w:hint="eastAsia"/>
                      <w:color w:val="000000" w:themeColor="text1"/>
                      <w:sz w:val="18"/>
                      <w:szCs w:val="18"/>
                      <w14:textFill>
                        <w14:solidFill>
                          <w14:schemeClr w14:val="tx1"/>
                        </w14:solidFill>
                      </w14:textFill>
                    </w:rPr>
                    <w:t>50</w:t>
                  </w:r>
                  <w:r>
                    <w:rPr>
                      <w:color w:val="000000" w:themeColor="text1"/>
                      <w:sz w:val="18"/>
                      <w:szCs w:val="18"/>
                      <w14:textFill>
                        <w14:solidFill>
                          <w14:schemeClr w14:val="tx1"/>
                        </w14:solidFill>
                      </w14:textFill>
                    </w:rPr>
                    <w:t>-0</w:t>
                  </w:r>
                  <w:r>
                    <w:rPr>
                      <w:rFonts w:hint="eastAsia"/>
                      <w:color w:val="000000" w:themeColor="text1"/>
                      <w:sz w:val="18"/>
                      <w:szCs w:val="18"/>
                      <w14:textFill>
                        <w14:solidFill>
                          <w14:schemeClr w14:val="tx1"/>
                        </w14:solidFill>
                      </w14:textFill>
                    </w:rPr>
                    <w:t>4）</w:t>
                  </w:r>
                </w:p>
              </w:tc>
              <w:tc>
                <w:tcPr>
                  <w:tcW w:w="498" w:type="pct"/>
                  <w:tcBorders>
                    <w:top w:val="single" w:color="auto" w:sz="12" w:space="0"/>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vMerge w:val="continue"/>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p>
              </w:tc>
              <w:tc>
                <w:tcPr>
                  <w:tcW w:w="783"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化学需氧量（mg/L）</w:t>
                  </w:r>
                </w:p>
              </w:tc>
              <w:tc>
                <w:tcPr>
                  <w:tcW w:w="1500" w:type="pct"/>
                  <w:tcBorders>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重铬酸盐法</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（HJ 828-2017）</w:t>
                  </w:r>
                </w:p>
              </w:tc>
              <w:tc>
                <w:tcPr>
                  <w:tcW w:w="1666"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HCA</w:t>
                  </w:r>
                  <w:r>
                    <w:rPr>
                      <w:color w:val="000000" w:themeColor="text1"/>
                      <w:sz w:val="18"/>
                      <w:szCs w:val="18"/>
                      <w14:textFill>
                        <w14:solidFill>
                          <w14:schemeClr w14:val="tx1"/>
                        </w14:solidFill>
                      </w14:textFill>
                    </w:rPr>
                    <w:t>-101</w:t>
                  </w:r>
                  <w:r>
                    <w:rPr>
                      <w:rFonts w:hint="eastAsia"/>
                      <w:color w:val="000000" w:themeColor="text1"/>
                      <w:sz w:val="18"/>
                      <w:szCs w:val="18"/>
                      <w14:textFill>
                        <w14:solidFill>
                          <w14:schemeClr w14:val="tx1"/>
                        </w14:solidFill>
                      </w14:textFill>
                    </w:rPr>
                    <w:t>标</w:t>
                  </w:r>
                  <w:r>
                    <w:rPr>
                      <w:color w:val="000000" w:themeColor="text1"/>
                      <w:sz w:val="18"/>
                      <w:szCs w:val="18"/>
                      <w14:textFill>
                        <w14:solidFill>
                          <w14:schemeClr w14:val="tx1"/>
                        </w14:solidFill>
                      </w14:textFill>
                    </w:rPr>
                    <w:t>准COD消</w:t>
                  </w:r>
                  <w:r>
                    <w:rPr>
                      <w:rFonts w:hint="eastAsia"/>
                      <w:color w:val="000000" w:themeColor="text1"/>
                      <w:sz w:val="18"/>
                      <w:szCs w:val="18"/>
                      <w14:textFill>
                        <w14:solidFill>
                          <w14:schemeClr w14:val="tx1"/>
                        </w14:solidFill>
                      </w14:textFill>
                    </w:rPr>
                    <w:t>解</w:t>
                  </w:r>
                  <w:r>
                    <w:rPr>
                      <w:color w:val="000000" w:themeColor="text1"/>
                      <w:sz w:val="18"/>
                      <w:szCs w:val="18"/>
                      <w14:textFill>
                        <w14:solidFill>
                          <w14:schemeClr w14:val="tx1"/>
                        </w14:solidFill>
                      </w14:textFill>
                    </w:rPr>
                    <w:t>仪</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（YHJC-JC-030-02）</w:t>
                  </w:r>
                </w:p>
              </w:tc>
              <w:tc>
                <w:tcPr>
                  <w:tcW w:w="498" w:type="pct"/>
                  <w:tcBorders>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vMerge w:val="continue"/>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p>
              </w:tc>
              <w:tc>
                <w:tcPr>
                  <w:tcW w:w="783"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五日生化需氧量（mg/L）</w:t>
                  </w:r>
                </w:p>
              </w:tc>
              <w:tc>
                <w:tcPr>
                  <w:tcW w:w="1500" w:type="pct"/>
                  <w:tcBorders>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稀释与接种</w:t>
                  </w:r>
                  <w:r>
                    <w:rPr>
                      <w:color w:val="000000" w:themeColor="text1"/>
                      <w:sz w:val="18"/>
                      <w:szCs w:val="18"/>
                      <w14:textFill>
                        <w14:solidFill>
                          <w14:schemeClr w14:val="tx1"/>
                        </w14:solidFill>
                      </w14:textFill>
                    </w:rPr>
                    <w:t>法</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（HJ 505-2009）</w:t>
                  </w:r>
                </w:p>
              </w:tc>
              <w:tc>
                <w:tcPr>
                  <w:tcW w:w="1666"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HI9147溶解氧仪</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（YHJC-JC-010-01）</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SPX-250</w:t>
                  </w:r>
                  <w:r>
                    <w:rPr>
                      <w:rFonts w:hint="eastAsia"/>
                      <w:color w:val="000000" w:themeColor="text1"/>
                      <w:sz w:val="18"/>
                      <w:szCs w:val="18"/>
                      <w14:textFill>
                        <w14:solidFill>
                          <w14:schemeClr w14:val="tx1"/>
                        </w14:solidFill>
                      </w14:textFill>
                    </w:rPr>
                    <w:t>生化培养箱</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（YHJC-JC-023-01</w:t>
                  </w:r>
                  <w:r>
                    <w:rPr>
                      <w:color w:val="000000" w:themeColor="text1"/>
                      <w:sz w:val="18"/>
                      <w:szCs w:val="18"/>
                      <w14:textFill>
                        <w14:solidFill>
                          <w14:schemeClr w14:val="tx1"/>
                        </w14:solidFill>
                      </w14:textFill>
                    </w:rPr>
                    <w:t>）</w:t>
                  </w:r>
                </w:p>
              </w:tc>
              <w:tc>
                <w:tcPr>
                  <w:tcW w:w="498" w:type="pct"/>
                  <w:tcBorders>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vMerge w:val="continue"/>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p>
              </w:tc>
              <w:tc>
                <w:tcPr>
                  <w:tcW w:w="783"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氨氮（mg/L）</w:t>
                  </w:r>
                </w:p>
              </w:tc>
              <w:tc>
                <w:tcPr>
                  <w:tcW w:w="1500" w:type="pct"/>
                  <w:tcBorders>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纳氏试剂分光光度法</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（HJ 535-2009）</w:t>
                  </w:r>
                </w:p>
              </w:tc>
              <w:tc>
                <w:tcPr>
                  <w:tcW w:w="1666"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721</w:t>
                  </w:r>
                  <w:r>
                    <w:rPr>
                      <w:rFonts w:hint="eastAsia"/>
                      <w:color w:val="000000" w:themeColor="text1"/>
                      <w:sz w:val="18"/>
                      <w:szCs w:val="18"/>
                      <w14:textFill>
                        <w14:solidFill>
                          <w14:schemeClr w14:val="tx1"/>
                        </w14:solidFill>
                      </w14:textFill>
                    </w:rPr>
                    <w:t>可见分光光度计</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（YHJC-JC-012-0</w:t>
                  </w:r>
                  <w:r>
                    <w:rPr>
                      <w:rFonts w:hint="eastAsia"/>
                      <w:color w:val="000000" w:themeColor="text1"/>
                      <w:sz w:val="18"/>
                      <w:szCs w:val="18"/>
                      <w14:textFill>
                        <w14:solidFill>
                          <w14:schemeClr w14:val="tx1"/>
                        </w14:solidFill>
                      </w14:textFill>
                    </w:rPr>
                    <w:t>2</w:t>
                  </w:r>
                  <w:r>
                    <w:rPr>
                      <w:color w:val="000000" w:themeColor="text1"/>
                      <w:sz w:val="18"/>
                      <w:szCs w:val="18"/>
                      <w14:textFill>
                        <w14:solidFill>
                          <w14:schemeClr w14:val="tx1"/>
                        </w14:solidFill>
                      </w14:textFill>
                    </w:rPr>
                    <w:t>）</w:t>
                  </w:r>
                </w:p>
              </w:tc>
              <w:tc>
                <w:tcPr>
                  <w:tcW w:w="498" w:type="pct"/>
                  <w:tcBorders>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vMerge w:val="continue"/>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p>
              </w:tc>
              <w:tc>
                <w:tcPr>
                  <w:tcW w:w="783"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悬浮物（mg/L）</w:t>
                  </w:r>
                </w:p>
              </w:tc>
              <w:tc>
                <w:tcPr>
                  <w:tcW w:w="1500" w:type="pct"/>
                  <w:tcBorders>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重量法</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GB 11901-1989</w:t>
                  </w:r>
                  <w:r>
                    <w:rPr>
                      <w:rFonts w:hint="eastAsia"/>
                      <w:color w:val="000000" w:themeColor="text1"/>
                      <w:sz w:val="18"/>
                      <w:szCs w:val="18"/>
                      <w14:textFill>
                        <w14:solidFill>
                          <w14:schemeClr w14:val="tx1"/>
                        </w14:solidFill>
                      </w14:textFill>
                    </w:rPr>
                    <w:t>）</w:t>
                  </w:r>
                </w:p>
              </w:tc>
              <w:tc>
                <w:tcPr>
                  <w:tcW w:w="1666"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GL124-1SCN</w:t>
                  </w:r>
                  <w:r>
                    <w:rPr>
                      <w:rFonts w:hint="eastAsia"/>
                      <w:color w:val="000000" w:themeColor="text1"/>
                      <w:sz w:val="18"/>
                      <w:szCs w:val="18"/>
                      <w14:textFill>
                        <w14:solidFill>
                          <w14:schemeClr w14:val="tx1"/>
                        </w14:solidFill>
                      </w14:textFill>
                    </w:rPr>
                    <w:t>电子天平（万分之一）（</w:t>
                  </w:r>
                  <w:r>
                    <w:rPr>
                      <w:color w:val="000000" w:themeColor="text1"/>
                      <w:sz w:val="18"/>
                      <w:szCs w:val="18"/>
                      <w14:textFill>
                        <w14:solidFill>
                          <w14:schemeClr w14:val="tx1"/>
                        </w14:solidFill>
                      </w14:textFill>
                    </w:rPr>
                    <w:t>YHJC-JC-004-01</w:t>
                  </w:r>
                  <w:r>
                    <w:rPr>
                      <w:rFonts w:hint="eastAsia"/>
                      <w:color w:val="000000" w:themeColor="text1"/>
                      <w:sz w:val="18"/>
                      <w:szCs w:val="18"/>
                      <w14:textFill>
                        <w14:solidFill>
                          <w14:schemeClr w14:val="tx1"/>
                        </w14:solidFill>
                      </w14:textFill>
                    </w:rPr>
                    <w:t>）</w:t>
                  </w:r>
                </w:p>
              </w:tc>
              <w:tc>
                <w:tcPr>
                  <w:tcW w:w="498" w:type="pct"/>
                  <w:tcBorders>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有组织</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废气</w:t>
                  </w:r>
                </w:p>
              </w:tc>
              <w:tc>
                <w:tcPr>
                  <w:tcW w:w="783"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甲醇（</w:t>
                  </w:r>
                  <w:r>
                    <w:rPr>
                      <w:color w:val="000000" w:themeColor="text1"/>
                      <w:sz w:val="18"/>
                      <w:szCs w:val="18"/>
                      <w14:textFill>
                        <w14:solidFill>
                          <w14:schemeClr w14:val="tx1"/>
                        </w14:solidFill>
                      </w14:textFill>
                    </w:rPr>
                    <w:t>mg/m</w:t>
                  </w:r>
                  <w:r>
                    <w:rPr>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w:t>
                  </w:r>
                </w:p>
              </w:tc>
              <w:tc>
                <w:tcPr>
                  <w:tcW w:w="1500" w:type="pct"/>
                  <w:tcBorders>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气相色谱法</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（H</w:t>
                  </w:r>
                  <w:r>
                    <w:rPr>
                      <w:color w:val="000000" w:themeColor="text1"/>
                      <w:sz w:val="18"/>
                      <w:szCs w:val="18"/>
                      <w14:textFill>
                        <w14:solidFill>
                          <w14:schemeClr w14:val="tx1"/>
                        </w14:solidFill>
                      </w14:textFill>
                    </w:rPr>
                    <w:t>J</w:t>
                  </w:r>
                  <w:r>
                    <w:rPr>
                      <w:rFonts w:hint="eastAsia"/>
                      <w:color w:val="000000" w:themeColor="text1"/>
                      <w:sz w:val="18"/>
                      <w:szCs w:val="18"/>
                      <w14:textFill>
                        <w14:solidFill>
                          <w14:schemeClr w14:val="tx1"/>
                        </w14:solidFill>
                      </w14:textFill>
                    </w:rPr>
                    <w:t>/T</w:t>
                  </w:r>
                  <w:r>
                    <w:rPr>
                      <w:color w:val="000000" w:themeColor="text1"/>
                      <w:sz w:val="18"/>
                      <w:szCs w:val="18"/>
                      <w14:textFill>
                        <w14:solidFill>
                          <w14:schemeClr w14:val="tx1"/>
                        </w14:solidFill>
                      </w14:textFill>
                    </w:rPr>
                    <w:t xml:space="preserve"> </w:t>
                  </w:r>
                  <w:r>
                    <w:rPr>
                      <w:rFonts w:hint="eastAsia"/>
                      <w:color w:val="000000" w:themeColor="text1"/>
                      <w:sz w:val="18"/>
                      <w:szCs w:val="18"/>
                      <w14:textFill>
                        <w14:solidFill>
                          <w14:schemeClr w14:val="tx1"/>
                        </w14:solidFill>
                      </w14:textFill>
                    </w:rPr>
                    <w:t>33-1999）</w:t>
                  </w:r>
                </w:p>
              </w:tc>
              <w:tc>
                <w:tcPr>
                  <w:tcW w:w="1666"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GC 9790Ⅱ气相色谱仪</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YHJC-JC-005-0</w:t>
                  </w:r>
                  <w:r>
                    <w:rPr>
                      <w:rFonts w:hint="eastAsia"/>
                      <w:color w:val="000000" w:themeColor="text1"/>
                      <w:sz w:val="18"/>
                      <w:szCs w:val="18"/>
                      <w14:textFill>
                        <w14:solidFill>
                          <w14:schemeClr w14:val="tx1"/>
                        </w14:solidFill>
                      </w14:textFill>
                    </w:rPr>
                    <w:t>2）</w:t>
                  </w:r>
                </w:p>
              </w:tc>
              <w:tc>
                <w:tcPr>
                  <w:tcW w:w="498" w:type="pct"/>
                  <w:tcBorders>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10" w:hRule="atLeast"/>
                <w:jc w:val="center"/>
              </w:trPr>
              <w:tc>
                <w:tcPr>
                  <w:tcW w:w="550"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噪声</w:t>
                  </w:r>
                </w:p>
              </w:tc>
              <w:tc>
                <w:tcPr>
                  <w:tcW w:w="783"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等效连续A声级〔dB(A)〕</w:t>
                  </w:r>
                </w:p>
              </w:tc>
              <w:tc>
                <w:tcPr>
                  <w:tcW w:w="1500" w:type="pct"/>
                  <w:tcBorders>
                    <w:tl2br w:val="nil"/>
                    <w:tr2bl w:val="nil"/>
                  </w:tcBorders>
                  <w:tcMar>
                    <w:top w:w="0" w:type="dxa"/>
                    <w:left w:w="0" w:type="dxa"/>
                    <w:bottom w:w="0" w:type="dxa"/>
                    <w:right w:w="0" w:type="dxa"/>
                  </w:tcMar>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工业</w:t>
                  </w:r>
                  <w:r>
                    <w:rPr>
                      <w:color w:val="000000" w:themeColor="text1"/>
                      <w:sz w:val="18"/>
                      <w:szCs w:val="18"/>
                      <w14:textFill>
                        <w14:solidFill>
                          <w14:schemeClr w14:val="tx1"/>
                        </w14:solidFill>
                      </w14:textFill>
                    </w:rPr>
                    <w:t>企业厂界环境噪声排放标准》（GB 12348-2008）</w:t>
                  </w:r>
                </w:p>
              </w:tc>
              <w:tc>
                <w:tcPr>
                  <w:tcW w:w="1666" w:type="pct"/>
                  <w:tcBorders>
                    <w:tl2br w:val="nil"/>
                    <w:tr2bl w:val="nil"/>
                  </w:tcBorders>
                  <w:vAlign w:val="center"/>
                </w:tcPr>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AWA5688</w:t>
                  </w:r>
                  <w:r>
                    <w:rPr>
                      <w:rFonts w:hint="eastAsia"/>
                      <w:color w:val="000000" w:themeColor="text1"/>
                      <w:sz w:val="18"/>
                      <w:szCs w:val="18"/>
                      <w14:textFill>
                        <w14:solidFill>
                          <w14:schemeClr w14:val="tx1"/>
                        </w14:solidFill>
                      </w14:textFill>
                    </w:rPr>
                    <w:t>多功能声级计</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（YH</w:t>
                  </w:r>
                  <w:r>
                    <w:rPr>
                      <w:color w:val="000000" w:themeColor="text1"/>
                      <w:sz w:val="18"/>
                      <w:szCs w:val="18"/>
                      <w14:textFill>
                        <w14:solidFill>
                          <w14:schemeClr w14:val="tx1"/>
                        </w14:solidFill>
                      </w14:textFill>
                    </w:rPr>
                    <w:t>JC-CY-001-</w:t>
                  </w:r>
                  <w:r>
                    <w:rPr>
                      <w:rFonts w:hint="eastAsia"/>
                      <w:color w:val="000000" w:themeColor="text1"/>
                      <w:sz w:val="18"/>
                      <w:szCs w:val="18"/>
                      <w14:textFill>
                        <w14:solidFill>
                          <w14:schemeClr w14:val="tx1"/>
                        </w14:solidFill>
                      </w14:textFill>
                    </w:rPr>
                    <w:t>10）</w:t>
                  </w:r>
                </w:p>
                <w:p>
                  <w:pPr>
                    <w:spacing w:line="24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AWA6221B</w:t>
                  </w:r>
                  <w:r>
                    <w:rPr>
                      <w:rFonts w:hint="eastAsia"/>
                      <w:color w:val="000000" w:themeColor="text1"/>
                      <w:sz w:val="18"/>
                      <w:szCs w:val="18"/>
                      <w14:textFill>
                        <w14:solidFill>
                          <w14:schemeClr w14:val="tx1"/>
                        </w14:solidFill>
                      </w14:textFill>
                    </w:rPr>
                    <w:t>声级计校准器</w:t>
                  </w:r>
                </w:p>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YHJC-CY-025-0</w:t>
                  </w:r>
                  <w:r>
                    <w:rPr>
                      <w:rFonts w:hint="eastAsia"/>
                      <w:color w:val="000000" w:themeColor="text1"/>
                      <w:sz w:val="18"/>
                      <w:szCs w:val="18"/>
                      <w14:textFill>
                        <w14:solidFill>
                          <w14:schemeClr w14:val="tx1"/>
                        </w14:solidFill>
                      </w14:textFill>
                    </w:rPr>
                    <w:t>3）</w:t>
                  </w:r>
                </w:p>
              </w:tc>
              <w:tc>
                <w:tcPr>
                  <w:tcW w:w="498" w:type="pct"/>
                  <w:tcBorders>
                    <w:tl2br w:val="nil"/>
                    <w:tr2bl w:val="nil"/>
                  </w:tcBorders>
                  <w:tcMar>
                    <w:top w:w="0" w:type="dxa"/>
                    <w:left w:w="57" w:type="dxa"/>
                    <w:bottom w:w="0" w:type="dxa"/>
                    <w:right w:w="57" w:type="dxa"/>
                  </w:tcMar>
                  <w:vAlign w:val="center"/>
                </w:tcPr>
                <w:p>
                  <w:pPr>
                    <w:spacing w:line="24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91" w:hRule="atLeast"/>
                <w:jc w:val="center"/>
              </w:trPr>
              <w:tc>
                <w:tcPr>
                  <w:tcW w:w="5000" w:type="pct"/>
                  <w:gridSpan w:val="5"/>
                  <w:tcBorders>
                    <w:tl2br w:val="nil"/>
                    <w:tr2bl w:val="nil"/>
                  </w:tcBorders>
                  <w:vAlign w:val="center"/>
                </w:tcPr>
                <w:p>
                  <w:pPr>
                    <w:spacing w:line="24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备注：“/”表示检测标准未规定检出限。</w:t>
                  </w:r>
                </w:p>
              </w:tc>
            </w:tr>
          </w:tbl>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5.2验收监测质量保证及控制措施</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严格按照环境保护部发布的《环境监测质量管理技术导则》（HJ630-2011）、《固定源废气监测技术规范》（HJ/T397-2007）、《固定污染源监测质量控制和质量保证技术规范》（HJ/T373-2007）等要求，对污染源监测的全过程进行质量控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（1）参加环保验收监测的工作人员，均经过专业上岗培训并为合格专业检测人员。</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（2）使用的监测仪器设备经计量部门检定合格，并在有效期内。</w:t>
            </w:r>
          </w:p>
          <w:p>
            <w:pPr>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（3）运行工况满足检测技术规范要求，严格按照国家标准与技术规范实施检测。现场采样和监测均在实验设备和环保设施正常运行情况下进行。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（4）数据和检测报告实行三级审核制度，检测过程按照本公司质量管理规定进行全程序质量控制。</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（5）质控措施：噪声仪使用前后校准，</w:t>
            </w:r>
            <w:bookmarkStart w:id="27" w:name="_GoBack"/>
            <w:bookmarkEnd w:id="27"/>
            <w:r>
              <w:rPr>
                <w:color w:val="000000" w:themeColor="text1"/>
                <w:sz w:val="24"/>
                <w14:textFill>
                  <w14:solidFill>
                    <w14:schemeClr w14:val="tx1"/>
                  </w14:solidFill>
                </w14:textFill>
              </w:rPr>
              <w:t>现场监测过程严格执行国家标准及监测技术规范，实验室分析采用全程序空白、平行样、有证标准样品等措施实施质量控制，平行样相对偏差在方法误差允许范围；有证标准样品测定结果在其保证值范围内，本次实验室分析质控数据均合格。</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本次监测质量控制结果见下表5-2至表5-</w:t>
            </w:r>
            <w:r>
              <w:rPr>
                <w:rFonts w:hint="eastAsia"/>
                <w:color w:val="000000" w:themeColor="text1"/>
                <w:sz w:val="24"/>
                <w14:textFill>
                  <w14:solidFill>
                    <w14:schemeClr w14:val="tx1"/>
                  </w14:solidFill>
                </w14:textFill>
              </w:rPr>
              <w:t>6</w:t>
            </w:r>
            <w:r>
              <w:rPr>
                <w:color w:val="000000" w:themeColor="text1"/>
                <w:sz w:val="24"/>
                <w14:textFill>
                  <w14:solidFill>
                    <w14:schemeClr w14:val="tx1"/>
                  </w14:solidFill>
                </w14:textFill>
              </w:rPr>
              <w:t>。</w:t>
            </w:r>
          </w:p>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表5-2空白质量控制结果</w:t>
            </w:r>
          </w:p>
          <w:tbl>
            <w:tblPr>
              <w:tblStyle w:val="2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13"/>
              <w:gridCol w:w="2874"/>
              <w:gridCol w:w="2114"/>
              <w:gridCol w:w="22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tblHeader/>
                <w:jc w:val="center"/>
              </w:trPr>
              <w:tc>
                <w:tcPr>
                  <w:tcW w:w="1000"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样品类型</w:t>
                  </w:r>
                </w:p>
              </w:tc>
              <w:tc>
                <w:tcPr>
                  <w:tcW w:w="1584"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检测项目</w:t>
                  </w:r>
                </w:p>
              </w:tc>
              <w:tc>
                <w:tcPr>
                  <w:tcW w:w="1165" w:type="pct"/>
                  <w:tcBorders>
                    <w:bottom w:val="single" w:color="auto" w:sz="12" w:space="0"/>
                  </w:tcBorders>
                  <w:shd w:val="clear" w:color="auto" w:fill="auto"/>
                  <w:vAlign w:val="center"/>
                </w:tcPr>
                <w:p>
                  <w:pPr>
                    <w:widowControl/>
                    <w:jc w:val="center"/>
                    <w:rPr>
                      <w:b/>
                      <w:bCs/>
                      <w:kern w:val="0"/>
                      <w:sz w:val="18"/>
                      <w:szCs w:val="18"/>
                    </w:rPr>
                  </w:pPr>
                  <w:r>
                    <w:rPr>
                      <w:b/>
                      <w:bCs/>
                      <w:kern w:val="0"/>
                      <w:sz w:val="18"/>
                      <w:szCs w:val="18"/>
                    </w:rPr>
                    <w:t>检</w:t>
                  </w:r>
                  <w:r>
                    <w:rPr>
                      <w:rFonts w:hint="eastAsia"/>
                      <w:b/>
                      <w:bCs/>
                      <w:kern w:val="0"/>
                      <w:sz w:val="18"/>
                      <w:szCs w:val="18"/>
                    </w:rPr>
                    <w:t>测结果</w:t>
                  </w:r>
                </w:p>
              </w:tc>
              <w:tc>
                <w:tcPr>
                  <w:tcW w:w="1249"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000" w:type="pct"/>
                  <w:vMerge w:val="restar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废水</w:t>
                  </w:r>
                </w:p>
              </w:tc>
              <w:tc>
                <w:tcPr>
                  <w:tcW w:w="1584" w:type="pct"/>
                  <w:tcBorders>
                    <w:top w:val="single" w:color="auto" w:sz="12" w:space="0"/>
                  </w:tcBorders>
                  <w:shd w:val="clear" w:color="auto" w:fill="auto"/>
                  <w:vAlign w:val="center"/>
                </w:tcPr>
                <w:p>
                  <w:pPr>
                    <w:widowControl/>
                    <w:jc w:val="center"/>
                    <w:rPr>
                      <w:kern w:val="0"/>
                      <w:sz w:val="18"/>
                      <w:szCs w:val="18"/>
                    </w:rPr>
                  </w:pPr>
                  <w:r>
                    <w:rPr>
                      <w:kern w:val="0"/>
                      <w:sz w:val="18"/>
                      <w:szCs w:val="18"/>
                    </w:rPr>
                    <w:t>化学需氧量（mg/L）</w:t>
                  </w:r>
                </w:p>
              </w:tc>
              <w:tc>
                <w:tcPr>
                  <w:tcW w:w="1165" w:type="pc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N</w:t>
                  </w:r>
                  <w:r>
                    <w:rPr>
                      <w:kern w:val="0"/>
                      <w:sz w:val="18"/>
                      <w:szCs w:val="18"/>
                    </w:rPr>
                    <w:t>D（</w:t>
                  </w:r>
                  <w:r>
                    <w:rPr>
                      <w:rFonts w:hint="eastAsia"/>
                      <w:kern w:val="0"/>
                      <w:sz w:val="18"/>
                      <w:szCs w:val="18"/>
                    </w:rPr>
                    <w:t>4</w:t>
                  </w:r>
                  <w:r>
                    <w:rPr>
                      <w:kern w:val="0"/>
                      <w:sz w:val="18"/>
                      <w:szCs w:val="18"/>
                    </w:rPr>
                    <w:t>）</w:t>
                  </w:r>
                </w:p>
              </w:tc>
              <w:tc>
                <w:tcPr>
                  <w:tcW w:w="1249" w:type="pct"/>
                  <w:tcBorders>
                    <w:top w:val="single" w:color="auto" w:sz="12" w:space="0"/>
                  </w:tcBorders>
                  <w:shd w:val="clear" w:color="auto" w:fill="auto"/>
                  <w:vAlign w:val="center"/>
                </w:tcPr>
                <w:p>
                  <w:pPr>
                    <w:widowControl/>
                    <w:jc w:val="center"/>
                    <w:rPr>
                      <w:kern w:val="0"/>
                      <w:sz w:val="18"/>
                      <w:szCs w:val="18"/>
                    </w:rPr>
                  </w:pPr>
                  <w:r>
                    <w:rPr>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1000" w:type="pct"/>
                  <w:vMerge w:val="continue"/>
                  <w:shd w:val="clear" w:color="auto" w:fill="auto"/>
                  <w:vAlign w:val="center"/>
                </w:tcPr>
                <w:p>
                  <w:pPr>
                    <w:widowControl/>
                    <w:jc w:val="center"/>
                    <w:rPr>
                      <w:kern w:val="0"/>
                      <w:sz w:val="18"/>
                      <w:szCs w:val="18"/>
                    </w:rPr>
                  </w:pPr>
                </w:p>
              </w:tc>
              <w:tc>
                <w:tcPr>
                  <w:tcW w:w="1584" w:type="pct"/>
                  <w:shd w:val="clear" w:color="auto" w:fill="auto"/>
                  <w:vAlign w:val="center"/>
                </w:tcPr>
                <w:p>
                  <w:pPr>
                    <w:widowControl/>
                    <w:jc w:val="center"/>
                    <w:rPr>
                      <w:kern w:val="0"/>
                      <w:sz w:val="18"/>
                      <w:szCs w:val="18"/>
                    </w:rPr>
                  </w:pPr>
                  <w:r>
                    <w:rPr>
                      <w:kern w:val="0"/>
                      <w:sz w:val="18"/>
                      <w:szCs w:val="18"/>
                    </w:rPr>
                    <w:t>氨氮（mg/L）</w:t>
                  </w:r>
                </w:p>
              </w:tc>
              <w:tc>
                <w:tcPr>
                  <w:tcW w:w="1165" w:type="pct"/>
                  <w:shd w:val="clear" w:color="auto" w:fill="auto"/>
                  <w:vAlign w:val="center"/>
                </w:tcPr>
                <w:p>
                  <w:pPr>
                    <w:widowControl/>
                    <w:jc w:val="center"/>
                    <w:rPr>
                      <w:kern w:val="0"/>
                      <w:sz w:val="18"/>
                      <w:szCs w:val="18"/>
                    </w:rPr>
                  </w:pPr>
                  <w:r>
                    <w:rPr>
                      <w:rFonts w:hint="eastAsia"/>
                      <w:kern w:val="0"/>
                      <w:sz w:val="18"/>
                      <w:szCs w:val="18"/>
                    </w:rPr>
                    <w:t>N</w:t>
                  </w:r>
                  <w:r>
                    <w:rPr>
                      <w:kern w:val="0"/>
                      <w:sz w:val="18"/>
                      <w:szCs w:val="18"/>
                    </w:rPr>
                    <w:t>D（</w:t>
                  </w:r>
                  <w:r>
                    <w:rPr>
                      <w:rFonts w:hint="eastAsia"/>
                      <w:kern w:val="0"/>
                      <w:sz w:val="18"/>
                      <w:szCs w:val="18"/>
                    </w:rPr>
                    <w:t>0</w:t>
                  </w:r>
                  <w:r>
                    <w:rPr>
                      <w:kern w:val="0"/>
                      <w:sz w:val="18"/>
                      <w:szCs w:val="18"/>
                    </w:rPr>
                    <w:t>.0</w:t>
                  </w:r>
                  <w:r>
                    <w:rPr>
                      <w:rFonts w:hint="eastAsia"/>
                      <w:kern w:val="0"/>
                      <w:sz w:val="18"/>
                      <w:szCs w:val="18"/>
                    </w:rPr>
                    <w:t>25</w:t>
                  </w:r>
                  <w:r>
                    <w:rPr>
                      <w:kern w:val="0"/>
                      <w:sz w:val="18"/>
                      <w:szCs w:val="18"/>
                    </w:rPr>
                    <w:t>）</w:t>
                  </w:r>
                </w:p>
              </w:tc>
              <w:tc>
                <w:tcPr>
                  <w:tcW w:w="1249" w:type="pct"/>
                  <w:shd w:val="clear" w:color="auto" w:fill="auto"/>
                  <w:vAlign w:val="center"/>
                </w:tcPr>
                <w:p>
                  <w:pPr>
                    <w:widowControl/>
                    <w:jc w:val="center"/>
                    <w:rPr>
                      <w:kern w:val="0"/>
                      <w:sz w:val="18"/>
                      <w:szCs w:val="18"/>
                    </w:rPr>
                  </w:pPr>
                  <w:r>
                    <w:rPr>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5000" w:type="pct"/>
                  <w:gridSpan w:val="4"/>
                  <w:shd w:val="clear" w:color="auto" w:fill="auto"/>
                  <w:vAlign w:val="center"/>
                </w:tcPr>
                <w:p>
                  <w:pPr>
                    <w:widowControl/>
                    <w:rPr>
                      <w:kern w:val="0"/>
                      <w:sz w:val="18"/>
                      <w:szCs w:val="18"/>
                    </w:rPr>
                  </w:pPr>
                  <w:r>
                    <w:rPr>
                      <w:kern w:val="0"/>
                      <w:sz w:val="18"/>
                      <w:szCs w:val="18"/>
                    </w:rPr>
                    <w:t>备注：“ND”表示本次监测结果为“未检出”或低于方法检出限，具体检出限见第5.1章节。</w:t>
                  </w:r>
                </w:p>
              </w:tc>
            </w:tr>
          </w:tbl>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表5-3 标准质控样质量控制结果</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93"/>
              <w:gridCol w:w="2194"/>
              <w:gridCol w:w="1946"/>
              <w:gridCol w:w="1585"/>
              <w:gridCol w:w="1498"/>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tblHeader/>
                <w:jc w:val="center"/>
              </w:trPr>
              <w:tc>
                <w:tcPr>
                  <w:tcW w:w="547" w:type="pct"/>
                  <w:tcBorders>
                    <w:top w:val="single" w:color="auto" w:sz="12" w:space="0"/>
                    <w:bottom w:val="single" w:color="auto" w:sz="12" w:space="0"/>
                  </w:tcBorders>
                  <w:shd w:val="clear" w:color="auto" w:fill="auto"/>
                  <w:vAlign w:val="center"/>
                </w:tcPr>
                <w:p>
                  <w:pPr>
                    <w:widowControl/>
                    <w:ind w:left="-42" w:leftChars="-20" w:right="-42" w:rightChars="-20"/>
                    <w:jc w:val="center"/>
                    <w:rPr>
                      <w:b/>
                      <w:bCs/>
                      <w:kern w:val="0"/>
                      <w:sz w:val="18"/>
                      <w:szCs w:val="18"/>
                    </w:rPr>
                  </w:pPr>
                  <w:r>
                    <w:rPr>
                      <w:b/>
                      <w:bCs/>
                      <w:kern w:val="0"/>
                      <w:sz w:val="18"/>
                      <w:szCs w:val="18"/>
                    </w:rPr>
                    <w:t>样品类型</w:t>
                  </w:r>
                </w:p>
              </w:tc>
              <w:tc>
                <w:tcPr>
                  <w:tcW w:w="1208" w:type="pct"/>
                  <w:tcBorders>
                    <w:top w:val="single" w:color="auto" w:sz="12" w:space="0"/>
                    <w:bottom w:val="single" w:color="auto" w:sz="12" w:space="0"/>
                  </w:tcBorders>
                  <w:shd w:val="clear" w:color="auto" w:fill="auto"/>
                  <w:vAlign w:val="center"/>
                </w:tcPr>
                <w:p>
                  <w:pPr>
                    <w:widowControl/>
                    <w:ind w:left="-42" w:leftChars="-20" w:right="-42" w:rightChars="-20"/>
                    <w:jc w:val="center"/>
                    <w:rPr>
                      <w:b/>
                      <w:bCs/>
                      <w:kern w:val="0"/>
                      <w:sz w:val="18"/>
                      <w:szCs w:val="18"/>
                    </w:rPr>
                  </w:pPr>
                  <w:r>
                    <w:rPr>
                      <w:rFonts w:hint="eastAsia"/>
                      <w:b/>
                      <w:bCs/>
                      <w:kern w:val="0"/>
                      <w:sz w:val="18"/>
                      <w:szCs w:val="18"/>
                    </w:rPr>
                    <w:t>检</w:t>
                  </w:r>
                  <w:r>
                    <w:rPr>
                      <w:b/>
                      <w:bCs/>
                      <w:kern w:val="0"/>
                      <w:sz w:val="18"/>
                      <w:szCs w:val="18"/>
                    </w:rPr>
                    <w:t>测项目</w:t>
                  </w:r>
                </w:p>
              </w:tc>
              <w:tc>
                <w:tcPr>
                  <w:tcW w:w="1072" w:type="pct"/>
                  <w:tcBorders>
                    <w:top w:val="single" w:color="auto" w:sz="12" w:space="0"/>
                    <w:bottom w:val="single" w:color="auto" w:sz="12" w:space="0"/>
                  </w:tcBorders>
                  <w:shd w:val="clear" w:color="auto" w:fill="auto"/>
                  <w:vAlign w:val="center"/>
                </w:tcPr>
                <w:p>
                  <w:pPr>
                    <w:widowControl/>
                    <w:ind w:left="-42" w:leftChars="-20" w:right="-42" w:rightChars="-20"/>
                    <w:jc w:val="center"/>
                    <w:rPr>
                      <w:b/>
                      <w:bCs/>
                      <w:kern w:val="0"/>
                      <w:sz w:val="18"/>
                      <w:szCs w:val="18"/>
                    </w:rPr>
                  </w:pPr>
                  <w:r>
                    <w:rPr>
                      <w:rFonts w:hint="eastAsia"/>
                      <w:b/>
                      <w:bCs/>
                      <w:kern w:val="0"/>
                      <w:sz w:val="18"/>
                      <w:szCs w:val="18"/>
                    </w:rPr>
                    <w:t>标样</w:t>
                  </w:r>
                  <w:r>
                    <w:rPr>
                      <w:b/>
                      <w:bCs/>
                      <w:kern w:val="0"/>
                      <w:sz w:val="18"/>
                      <w:szCs w:val="18"/>
                    </w:rPr>
                    <w:t>编号</w:t>
                  </w:r>
                </w:p>
              </w:tc>
              <w:tc>
                <w:tcPr>
                  <w:tcW w:w="873" w:type="pct"/>
                  <w:tcBorders>
                    <w:top w:val="single" w:color="auto" w:sz="12" w:space="0"/>
                    <w:bottom w:val="single" w:color="auto" w:sz="12" w:space="0"/>
                  </w:tcBorders>
                  <w:shd w:val="clear" w:color="auto" w:fill="auto"/>
                  <w:vAlign w:val="center"/>
                </w:tcPr>
                <w:p>
                  <w:pPr>
                    <w:widowControl/>
                    <w:ind w:left="-42" w:leftChars="-20" w:right="-42" w:rightChars="-20"/>
                    <w:jc w:val="center"/>
                    <w:rPr>
                      <w:b/>
                      <w:bCs/>
                      <w:kern w:val="0"/>
                      <w:sz w:val="18"/>
                      <w:szCs w:val="18"/>
                    </w:rPr>
                  </w:pPr>
                  <w:r>
                    <w:rPr>
                      <w:rFonts w:hint="eastAsia"/>
                      <w:b/>
                      <w:bCs/>
                      <w:kern w:val="0"/>
                      <w:sz w:val="18"/>
                      <w:szCs w:val="18"/>
                    </w:rPr>
                    <w:t>检</w:t>
                  </w:r>
                  <w:r>
                    <w:rPr>
                      <w:b/>
                      <w:bCs/>
                      <w:kern w:val="0"/>
                      <w:sz w:val="18"/>
                      <w:szCs w:val="18"/>
                    </w:rPr>
                    <w:t>测结果</w:t>
                  </w:r>
                </w:p>
              </w:tc>
              <w:tc>
                <w:tcPr>
                  <w:tcW w:w="826" w:type="pct"/>
                  <w:tcBorders>
                    <w:top w:val="single" w:color="auto" w:sz="12" w:space="0"/>
                    <w:bottom w:val="single" w:color="auto" w:sz="12" w:space="0"/>
                  </w:tcBorders>
                  <w:shd w:val="clear" w:color="auto" w:fill="auto"/>
                  <w:vAlign w:val="center"/>
                </w:tcPr>
                <w:p>
                  <w:pPr>
                    <w:widowControl/>
                    <w:ind w:left="-42" w:leftChars="-20" w:right="-42" w:rightChars="-20"/>
                    <w:jc w:val="center"/>
                    <w:rPr>
                      <w:b/>
                      <w:bCs/>
                      <w:kern w:val="0"/>
                      <w:sz w:val="18"/>
                      <w:szCs w:val="18"/>
                    </w:rPr>
                  </w:pPr>
                  <w:r>
                    <w:rPr>
                      <w:b/>
                      <w:bCs/>
                      <w:kern w:val="0"/>
                      <w:sz w:val="18"/>
                      <w:szCs w:val="18"/>
                    </w:rPr>
                    <w:t>标准值</w:t>
                  </w:r>
                </w:p>
              </w:tc>
              <w:tc>
                <w:tcPr>
                  <w:tcW w:w="471" w:type="pct"/>
                  <w:tcBorders>
                    <w:top w:val="single" w:color="auto" w:sz="12" w:space="0"/>
                    <w:bottom w:val="single" w:color="auto" w:sz="12" w:space="0"/>
                  </w:tcBorders>
                  <w:shd w:val="clear" w:color="auto" w:fill="auto"/>
                  <w:vAlign w:val="center"/>
                </w:tcPr>
                <w:p>
                  <w:pPr>
                    <w:widowControl/>
                    <w:ind w:left="-42" w:leftChars="-20" w:right="-42" w:rightChars="-20"/>
                    <w:jc w:val="center"/>
                    <w:rPr>
                      <w:b/>
                      <w:bCs/>
                      <w:kern w:val="0"/>
                      <w:sz w:val="18"/>
                      <w:szCs w:val="18"/>
                    </w:rPr>
                  </w:pPr>
                  <w:r>
                    <w:rPr>
                      <w:rFonts w:hint="eastAsia"/>
                      <w:b/>
                      <w:bCs/>
                      <w:kern w:val="0"/>
                      <w:sz w:val="18"/>
                      <w:szCs w:val="18"/>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restart"/>
                  <w:tcBorders>
                    <w:top w:val="single" w:color="auto" w:sz="12"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废水</w:t>
                  </w:r>
                </w:p>
              </w:tc>
              <w:tc>
                <w:tcPr>
                  <w:tcW w:w="1208" w:type="pct"/>
                  <w:tcBorders>
                    <w:top w:val="single" w:color="auto" w:sz="12" w:space="0"/>
                    <w:bottom w:val="single" w:color="auto" w:sz="4" w:space="0"/>
                  </w:tcBorders>
                  <w:shd w:val="clear" w:color="auto" w:fill="auto"/>
                  <w:vAlign w:val="center"/>
                </w:tcPr>
                <w:p>
                  <w:pPr>
                    <w:widowControl/>
                    <w:ind w:left="-42" w:leftChars="-20" w:right="-42" w:rightChars="-20"/>
                    <w:jc w:val="center"/>
                    <w:rPr>
                      <w:kern w:val="0"/>
                      <w:sz w:val="18"/>
                      <w:szCs w:val="18"/>
                    </w:rPr>
                  </w:pPr>
                  <w:r>
                    <w:rPr>
                      <w:kern w:val="0"/>
                      <w:sz w:val="18"/>
                      <w:szCs w:val="18"/>
                    </w:rPr>
                    <w:t>化学需氧量（mg/L）</w:t>
                  </w:r>
                </w:p>
              </w:tc>
              <w:tc>
                <w:tcPr>
                  <w:tcW w:w="1072" w:type="pct"/>
                  <w:tcBorders>
                    <w:top w:val="single" w:color="auto" w:sz="12" w:space="0"/>
                    <w:bottom w:val="single" w:color="auto" w:sz="4"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211111LH2001159-2</w:t>
                  </w:r>
                </w:p>
              </w:tc>
              <w:tc>
                <w:tcPr>
                  <w:tcW w:w="873" w:type="pct"/>
                  <w:tcBorders>
                    <w:top w:val="single" w:color="auto" w:sz="12" w:space="0"/>
                    <w:bottom w:val="single" w:color="auto" w:sz="4"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36.3</w:t>
                  </w:r>
                </w:p>
              </w:tc>
              <w:tc>
                <w:tcPr>
                  <w:tcW w:w="826" w:type="pct"/>
                  <w:tcBorders>
                    <w:top w:val="single" w:color="auto" w:sz="12" w:space="0"/>
                    <w:bottom w:val="single" w:color="auto" w:sz="4"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35.5±3.2</w:t>
                  </w:r>
                </w:p>
              </w:tc>
              <w:tc>
                <w:tcPr>
                  <w:tcW w:w="471" w:type="pct"/>
                  <w:tcBorders>
                    <w:top w:val="single" w:color="auto" w:sz="12" w:space="0"/>
                    <w:bottom w:val="single" w:color="auto" w:sz="4" w:space="0"/>
                  </w:tcBorders>
                  <w:shd w:val="clear" w:color="auto" w:fill="auto"/>
                  <w:vAlign w:val="center"/>
                </w:tcPr>
                <w:p>
                  <w:pPr>
                    <w:widowControl/>
                    <w:ind w:left="-42" w:leftChars="-20" w:right="-42" w:rightChars="-20"/>
                    <w:jc w:val="center"/>
                    <w:rPr>
                      <w:kern w:val="0"/>
                      <w:sz w:val="18"/>
                      <w:szCs w:val="18"/>
                    </w:rPr>
                  </w:pPr>
                  <w:r>
                    <w:rPr>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continue"/>
                  <w:shd w:val="clear" w:color="auto" w:fill="auto"/>
                  <w:vAlign w:val="center"/>
                </w:tcPr>
                <w:p>
                  <w:pPr>
                    <w:widowControl/>
                    <w:ind w:left="-42" w:leftChars="-20" w:right="-42" w:rightChars="-20"/>
                    <w:jc w:val="center"/>
                    <w:rPr>
                      <w:kern w:val="0"/>
                      <w:sz w:val="18"/>
                      <w:szCs w:val="18"/>
                    </w:rPr>
                  </w:pPr>
                </w:p>
              </w:tc>
              <w:tc>
                <w:tcPr>
                  <w:tcW w:w="1208" w:type="pct"/>
                  <w:tcBorders>
                    <w:top w:val="single" w:color="auto" w:sz="4" w:space="0"/>
                    <w:bottom w:val="single" w:color="auto" w:sz="4" w:space="0"/>
                  </w:tcBorders>
                  <w:shd w:val="clear" w:color="auto" w:fill="auto"/>
                  <w:vAlign w:val="center"/>
                </w:tcPr>
                <w:p>
                  <w:pPr>
                    <w:widowControl/>
                    <w:ind w:left="-42" w:leftChars="-20" w:right="-42" w:rightChars="-20"/>
                    <w:jc w:val="center"/>
                    <w:rPr>
                      <w:kern w:val="0"/>
                      <w:sz w:val="18"/>
                      <w:szCs w:val="18"/>
                    </w:rPr>
                  </w:pPr>
                  <w:r>
                    <w:rPr>
                      <w:kern w:val="0"/>
                      <w:sz w:val="18"/>
                      <w:szCs w:val="18"/>
                    </w:rPr>
                    <w:t>五日生化需氧量（mg/L）</w:t>
                  </w:r>
                </w:p>
              </w:tc>
              <w:tc>
                <w:tcPr>
                  <w:tcW w:w="1072" w:type="pct"/>
                  <w:tcBorders>
                    <w:top w:val="single" w:color="auto" w:sz="4" w:space="0"/>
                    <w:bottom w:val="single" w:color="auto" w:sz="4"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201222LH200259</w:t>
                  </w:r>
                </w:p>
              </w:tc>
              <w:tc>
                <w:tcPr>
                  <w:tcW w:w="873" w:type="pct"/>
                  <w:tcBorders>
                    <w:top w:val="single" w:color="auto" w:sz="4" w:space="0"/>
                    <w:bottom w:val="single" w:color="auto" w:sz="4"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23.2</w:t>
                  </w:r>
                </w:p>
              </w:tc>
              <w:tc>
                <w:tcPr>
                  <w:tcW w:w="826" w:type="pct"/>
                  <w:tcBorders>
                    <w:top w:val="single" w:color="auto" w:sz="4" w:space="0"/>
                    <w:bottom w:val="single" w:color="auto" w:sz="4"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23.9±2.9</w:t>
                  </w:r>
                </w:p>
              </w:tc>
              <w:tc>
                <w:tcPr>
                  <w:tcW w:w="471" w:type="pct"/>
                  <w:tcBorders>
                    <w:top w:val="single" w:color="auto" w:sz="4" w:space="0"/>
                    <w:bottom w:val="single" w:color="auto" w:sz="4" w:space="0"/>
                  </w:tcBorders>
                  <w:shd w:val="clear" w:color="auto" w:fill="auto"/>
                  <w:vAlign w:val="center"/>
                </w:tcPr>
                <w:p>
                  <w:pPr>
                    <w:widowControl/>
                    <w:ind w:left="-42" w:leftChars="-20" w:right="-42" w:rightChars="-20"/>
                    <w:jc w:val="center"/>
                    <w:rPr>
                      <w:kern w:val="0"/>
                      <w:sz w:val="18"/>
                      <w:szCs w:val="18"/>
                    </w:rPr>
                  </w:pPr>
                  <w:r>
                    <w:rPr>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47" w:type="pct"/>
                  <w:vMerge w:val="continue"/>
                  <w:tcBorders>
                    <w:bottom w:val="single" w:color="auto" w:sz="12" w:space="0"/>
                  </w:tcBorders>
                  <w:shd w:val="clear" w:color="auto" w:fill="auto"/>
                  <w:vAlign w:val="center"/>
                </w:tcPr>
                <w:p>
                  <w:pPr>
                    <w:widowControl/>
                    <w:ind w:left="-42" w:leftChars="-20" w:right="-42" w:rightChars="-20"/>
                    <w:jc w:val="center"/>
                    <w:rPr>
                      <w:kern w:val="0"/>
                      <w:sz w:val="18"/>
                      <w:szCs w:val="18"/>
                    </w:rPr>
                  </w:pPr>
                </w:p>
              </w:tc>
              <w:tc>
                <w:tcPr>
                  <w:tcW w:w="1208" w:type="pct"/>
                  <w:tcBorders>
                    <w:top w:val="single" w:color="auto" w:sz="4" w:space="0"/>
                    <w:bottom w:val="single" w:color="auto" w:sz="12" w:space="0"/>
                  </w:tcBorders>
                  <w:shd w:val="clear" w:color="auto" w:fill="auto"/>
                  <w:vAlign w:val="center"/>
                </w:tcPr>
                <w:p>
                  <w:pPr>
                    <w:widowControl/>
                    <w:ind w:left="-42" w:leftChars="-20" w:right="-42" w:rightChars="-20"/>
                    <w:jc w:val="center"/>
                    <w:rPr>
                      <w:kern w:val="0"/>
                      <w:sz w:val="18"/>
                      <w:szCs w:val="18"/>
                    </w:rPr>
                  </w:pPr>
                  <w:r>
                    <w:rPr>
                      <w:kern w:val="0"/>
                      <w:sz w:val="18"/>
                      <w:szCs w:val="18"/>
                    </w:rPr>
                    <w:t>氨氮（mg/L）</w:t>
                  </w:r>
                </w:p>
              </w:tc>
              <w:tc>
                <w:tcPr>
                  <w:tcW w:w="1072" w:type="pct"/>
                  <w:tcBorders>
                    <w:top w:val="single" w:color="auto" w:sz="4" w:space="0"/>
                    <w:bottom w:val="single" w:color="auto" w:sz="12"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211209LH2005145-1</w:t>
                  </w:r>
                </w:p>
              </w:tc>
              <w:tc>
                <w:tcPr>
                  <w:tcW w:w="873" w:type="pct"/>
                  <w:tcBorders>
                    <w:top w:val="single" w:color="auto" w:sz="4" w:space="0"/>
                    <w:bottom w:val="single" w:color="auto" w:sz="12"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1.20</w:t>
                  </w:r>
                </w:p>
              </w:tc>
              <w:tc>
                <w:tcPr>
                  <w:tcW w:w="826" w:type="pct"/>
                  <w:tcBorders>
                    <w:top w:val="single" w:color="auto" w:sz="4" w:space="0"/>
                    <w:bottom w:val="single" w:color="auto" w:sz="12" w:space="0"/>
                  </w:tcBorders>
                  <w:shd w:val="clear" w:color="auto" w:fill="auto"/>
                  <w:vAlign w:val="center"/>
                </w:tcPr>
                <w:p>
                  <w:pPr>
                    <w:widowControl/>
                    <w:ind w:left="-42" w:leftChars="-20" w:right="-42" w:rightChars="-20"/>
                    <w:jc w:val="center"/>
                    <w:rPr>
                      <w:kern w:val="0"/>
                      <w:sz w:val="18"/>
                      <w:szCs w:val="18"/>
                    </w:rPr>
                  </w:pPr>
                  <w:r>
                    <w:rPr>
                      <w:rFonts w:hint="eastAsia"/>
                      <w:kern w:val="0"/>
                      <w:sz w:val="18"/>
                      <w:szCs w:val="18"/>
                    </w:rPr>
                    <w:t>1.21±0.08</w:t>
                  </w:r>
                </w:p>
              </w:tc>
              <w:tc>
                <w:tcPr>
                  <w:tcW w:w="471" w:type="pct"/>
                  <w:tcBorders>
                    <w:top w:val="single" w:color="auto" w:sz="4" w:space="0"/>
                    <w:bottom w:val="single" w:color="auto" w:sz="12" w:space="0"/>
                  </w:tcBorders>
                  <w:shd w:val="clear" w:color="auto" w:fill="auto"/>
                  <w:vAlign w:val="center"/>
                </w:tcPr>
                <w:p>
                  <w:pPr>
                    <w:widowControl/>
                    <w:ind w:left="-42" w:leftChars="-20" w:right="-42" w:rightChars="-20"/>
                    <w:jc w:val="center"/>
                    <w:rPr>
                      <w:kern w:val="0"/>
                      <w:sz w:val="18"/>
                      <w:szCs w:val="18"/>
                    </w:rPr>
                  </w:pPr>
                  <w:r>
                    <w:rPr>
                      <w:kern w:val="0"/>
                      <w:sz w:val="18"/>
                      <w:szCs w:val="18"/>
                    </w:rPr>
                    <w:t>合格</w:t>
                  </w:r>
                </w:p>
              </w:tc>
            </w:tr>
          </w:tbl>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表5-4 标准曲线验证结果</w:t>
            </w:r>
          </w:p>
          <w:tbl>
            <w:tblPr>
              <w:tblStyle w:val="2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115"/>
              <w:gridCol w:w="3122"/>
              <w:gridCol w:w="1807"/>
              <w:gridCol w:w="12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6" w:type="pct"/>
                  <w:tcBorders>
                    <w:bottom w:val="single" w:color="auto" w:sz="12" w:space="0"/>
                  </w:tcBorders>
                  <w:shd w:val="clear" w:color="auto" w:fill="auto"/>
                  <w:vAlign w:val="center"/>
                </w:tcPr>
                <w:p>
                  <w:pPr>
                    <w:widowControl/>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样品类型</w:t>
                  </w:r>
                </w:p>
              </w:tc>
              <w:tc>
                <w:tcPr>
                  <w:tcW w:w="614" w:type="pct"/>
                  <w:tcBorders>
                    <w:bottom w:val="single" w:color="auto" w:sz="12" w:space="0"/>
                  </w:tcBorders>
                  <w:shd w:val="clear" w:color="auto" w:fill="auto"/>
                  <w:vAlign w:val="center"/>
                </w:tcPr>
                <w:p>
                  <w:pPr>
                    <w:widowControl/>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检测项目</w:t>
                  </w:r>
                </w:p>
              </w:tc>
              <w:tc>
                <w:tcPr>
                  <w:tcW w:w="1720" w:type="pct"/>
                  <w:tcBorders>
                    <w:bottom w:val="single" w:color="auto" w:sz="12" w:space="0"/>
                  </w:tcBorders>
                  <w:shd w:val="clear" w:color="auto" w:fill="auto"/>
                  <w:vAlign w:val="center"/>
                </w:tcPr>
                <w:p>
                  <w:pPr>
                    <w:widowControl/>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标准曲线中间点浓度相对误差（%）</w:t>
                  </w:r>
                </w:p>
              </w:tc>
              <w:tc>
                <w:tcPr>
                  <w:tcW w:w="996" w:type="pct"/>
                  <w:tcBorders>
                    <w:bottom w:val="single" w:color="auto" w:sz="12" w:space="0"/>
                  </w:tcBorders>
                  <w:shd w:val="clear" w:color="auto" w:fill="auto"/>
                  <w:vAlign w:val="center"/>
                </w:tcPr>
                <w:p>
                  <w:pPr>
                    <w:widowControl/>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允许相对误差（%）</w:t>
                  </w:r>
                </w:p>
              </w:tc>
              <w:tc>
                <w:tcPr>
                  <w:tcW w:w="712" w:type="pct"/>
                  <w:tcBorders>
                    <w:bottom w:val="single" w:color="auto" w:sz="12" w:space="0"/>
                  </w:tcBorders>
                  <w:shd w:val="clear" w:color="auto" w:fill="auto"/>
                  <w:vAlign w:val="center"/>
                </w:tcPr>
                <w:p>
                  <w:pPr>
                    <w:widowControl/>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6" w:type="pct"/>
                  <w:tcBorders>
                    <w:top w:val="single" w:color="auto" w:sz="12"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废水</w:t>
                  </w:r>
                </w:p>
              </w:tc>
              <w:tc>
                <w:tcPr>
                  <w:tcW w:w="614" w:type="pct"/>
                  <w:tcBorders>
                    <w:top w:val="single" w:color="auto" w:sz="12"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氨氮</w:t>
                  </w:r>
                </w:p>
              </w:tc>
              <w:tc>
                <w:tcPr>
                  <w:tcW w:w="1720" w:type="pct"/>
                  <w:tcBorders>
                    <w:top w:val="single" w:color="auto" w:sz="12"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w:t>
                  </w:r>
                </w:p>
              </w:tc>
              <w:tc>
                <w:tcPr>
                  <w:tcW w:w="996" w:type="pct"/>
                  <w:tcBorders>
                    <w:top w:val="single" w:color="auto" w:sz="12"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10</w:t>
                  </w:r>
                </w:p>
              </w:tc>
              <w:tc>
                <w:tcPr>
                  <w:tcW w:w="712" w:type="pct"/>
                  <w:tcBorders>
                    <w:top w:val="single" w:color="auto" w:sz="12"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56"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有组织</w:t>
                  </w:r>
                  <w:r>
                    <w:rPr>
                      <w:rFonts w:hint="eastAsia"/>
                      <w:color w:val="000000" w:themeColor="text1"/>
                      <w:kern w:val="0"/>
                      <w:sz w:val="18"/>
                      <w:szCs w:val="18"/>
                      <w14:textFill>
                        <w14:solidFill>
                          <w14:schemeClr w14:val="tx1"/>
                        </w14:solidFill>
                      </w14:textFill>
                    </w:rPr>
                    <w:t>废</w:t>
                  </w:r>
                  <w:r>
                    <w:rPr>
                      <w:color w:val="000000" w:themeColor="text1"/>
                      <w:kern w:val="0"/>
                      <w:sz w:val="18"/>
                      <w:szCs w:val="18"/>
                      <w14:textFill>
                        <w14:solidFill>
                          <w14:schemeClr w14:val="tx1"/>
                        </w14:solidFill>
                      </w14:textFill>
                    </w:rPr>
                    <w:t>气</w:t>
                  </w:r>
                </w:p>
              </w:tc>
              <w:tc>
                <w:tcPr>
                  <w:tcW w:w="614" w:type="pct"/>
                  <w:shd w:val="clear" w:color="auto" w:fill="auto"/>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甲醇</w:t>
                  </w:r>
                </w:p>
              </w:tc>
              <w:tc>
                <w:tcPr>
                  <w:tcW w:w="1720" w:type="pct"/>
                  <w:shd w:val="clear" w:color="auto" w:fill="auto"/>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2.2</w:t>
                  </w:r>
                </w:p>
              </w:tc>
              <w:tc>
                <w:tcPr>
                  <w:tcW w:w="996" w:type="pct"/>
                  <w:shd w:val="clear" w:color="auto" w:fill="auto"/>
                  <w:vAlign w:val="center"/>
                </w:tcPr>
                <w:p>
                  <w:pPr>
                    <w:widowControl/>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30</w:t>
                  </w:r>
                </w:p>
              </w:tc>
              <w:tc>
                <w:tcPr>
                  <w:tcW w:w="712" w:type="pct"/>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合格</w:t>
                  </w:r>
                </w:p>
              </w:tc>
            </w:tr>
          </w:tbl>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表5-5 实验室平行样质控结果</w:t>
            </w:r>
          </w:p>
          <w:tbl>
            <w:tblPr>
              <w:tblStyle w:val="2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6"/>
              <w:gridCol w:w="1927"/>
              <w:gridCol w:w="1676"/>
              <w:gridCol w:w="954"/>
              <w:gridCol w:w="858"/>
              <w:gridCol w:w="1049"/>
              <w:gridCol w:w="1009"/>
              <w:gridCol w:w="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417"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样品</w:t>
                  </w:r>
                </w:p>
                <w:p>
                  <w:pPr>
                    <w:widowControl/>
                    <w:jc w:val="center"/>
                    <w:rPr>
                      <w:b/>
                      <w:bCs/>
                      <w:kern w:val="0"/>
                      <w:sz w:val="18"/>
                      <w:szCs w:val="18"/>
                    </w:rPr>
                  </w:pPr>
                  <w:r>
                    <w:rPr>
                      <w:rFonts w:hint="eastAsia"/>
                      <w:b/>
                      <w:bCs/>
                      <w:kern w:val="0"/>
                      <w:sz w:val="18"/>
                      <w:szCs w:val="18"/>
                    </w:rPr>
                    <w:t>类型</w:t>
                  </w:r>
                </w:p>
              </w:tc>
              <w:tc>
                <w:tcPr>
                  <w:tcW w:w="1062"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检测项目</w:t>
                  </w:r>
                </w:p>
              </w:tc>
              <w:tc>
                <w:tcPr>
                  <w:tcW w:w="924"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实验室编号</w:t>
                  </w:r>
                </w:p>
              </w:tc>
              <w:tc>
                <w:tcPr>
                  <w:tcW w:w="526"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样品结果</w:t>
                  </w:r>
                </w:p>
              </w:tc>
              <w:tc>
                <w:tcPr>
                  <w:tcW w:w="473"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平行结果</w:t>
                  </w:r>
                </w:p>
              </w:tc>
              <w:tc>
                <w:tcPr>
                  <w:tcW w:w="578"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样品相对偏差（%）</w:t>
                  </w:r>
                </w:p>
              </w:tc>
              <w:tc>
                <w:tcPr>
                  <w:tcW w:w="556" w:type="pct"/>
                  <w:tcBorders>
                    <w:bottom w:val="single" w:color="auto" w:sz="12" w:space="0"/>
                  </w:tcBorders>
                  <w:shd w:val="clear" w:color="auto" w:fill="auto"/>
                  <w:vAlign w:val="center"/>
                </w:tcPr>
                <w:p>
                  <w:pPr>
                    <w:widowControl/>
                    <w:jc w:val="center"/>
                    <w:rPr>
                      <w:b/>
                      <w:bCs/>
                      <w:kern w:val="0"/>
                      <w:sz w:val="18"/>
                      <w:szCs w:val="18"/>
                    </w:rPr>
                  </w:pPr>
                  <w:r>
                    <w:rPr>
                      <w:rFonts w:hint="eastAsia"/>
                      <w:b/>
                      <w:bCs/>
                      <w:kern w:val="0"/>
                      <w:sz w:val="18"/>
                      <w:szCs w:val="18"/>
                    </w:rPr>
                    <w:t>允许相对偏差（%）</w:t>
                  </w:r>
                </w:p>
              </w:tc>
              <w:tc>
                <w:tcPr>
                  <w:tcW w:w="460" w:type="pct"/>
                  <w:tcBorders>
                    <w:bottom w:val="single" w:color="auto" w:sz="12" w:space="0"/>
                  </w:tcBorders>
                  <w:shd w:val="clear" w:color="auto" w:fill="auto"/>
                  <w:vAlign w:val="center"/>
                </w:tcPr>
                <w:p>
                  <w:pPr>
                    <w:widowControl/>
                    <w:jc w:val="center"/>
                    <w:rPr>
                      <w:b/>
                      <w:bCs/>
                      <w:kern w:val="0"/>
                      <w:sz w:val="18"/>
                      <w:szCs w:val="18"/>
                    </w:rPr>
                  </w:pPr>
                  <w:r>
                    <w:rPr>
                      <w:b/>
                      <w:bCs/>
                      <w:kern w:val="0"/>
                      <w:sz w:val="18"/>
                      <w:szCs w:val="18"/>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Merge w:val="restar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废水</w:t>
                  </w:r>
                </w:p>
              </w:tc>
              <w:tc>
                <w:tcPr>
                  <w:tcW w:w="1062" w:type="pct"/>
                  <w:tcBorders>
                    <w:top w:val="single" w:color="auto" w:sz="12" w:space="0"/>
                  </w:tcBorders>
                  <w:shd w:val="clear" w:color="auto" w:fill="auto"/>
                  <w:vAlign w:val="center"/>
                </w:tcPr>
                <w:p>
                  <w:pPr>
                    <w:widowControl/>
                    <w:jc w:val="center"/>
                    <w:rPr>
                      <w:kern w:val="0"/>
                      <w:sz w:val="18"/>
                      <w:szCs w:val="18"/>
                    </w:rPr>
                  </w:pPr>
                  <w:r>
                    <w:rPr>
                      <w:kern w:val="0"/>
                      <w:sz w:val="18"/>
                      <w:szCs w:val="18"/>
                    </w:rPr>
                    <w:t>化学需氧量（mg/L）</w:t>
                  </w:r>
                </w:p>
              </w:tc>
              <w:tc>
                <w:tcPr>
                  <w:tcW w:w="924" w:type="pct"/>
                  <w:tcBorders>
                    <w:top w:val="single" w:color="auto" w:sz="12" w:space="0"/>
                  </w:tcBorders>
                  <w:shd w:val="clear" w:color="auto" w:fill="auto"/>
                  <w:vAlign w:val="center"/>
                </w:tcPr>
                <w:p>
                  <w:pPr>
                    <w:widowControl/>
                    <w:jc w:val="center"/>
                    <w:rPr>
                      <w:kern w:val="0"/>
                      <w:sz w:val="18"/>
                      <w:szCs w:val="18"/>
                    </w:rPr>
                  </w:pPr>
                  <w:r>
                    <w:rPr>
                      <w:kern w:val="0"/>
                      <w:sz w:val="18"/>
                      <w:szCs w:val="18"/>
                    </w:rPr>
                    <w:t>B-220309FS01001</w:t>
                  </w:r>
                </w:p>
              </w:tc>
              <w:tc>
                <w:tcPr>
                  <w:tcW w:w="526" w:type="pc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36</w:t>
                  </w:r>
                </w:p>
              </w:tc>
              <w:tc>
                <w:tcPr>
                  <w:tcW w:w="473" w:type="pc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37</w:t>
                  </w:r>
                </w:p>
              </w:tc>
              <w:tc>
                <w:tcPr>
                  <w:tcW w:w="578" w:type="pc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2.7</w:t>
                  </w:r>
                </w:p>
              </w:tc>
              <w:tc>
                <w:tcPr>
                  <w:tcW w:w="556" w:type="pc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10</w:t>
                  </w:r>
                </w:p>
              </w:tc>
              <w:tc>
                <w:tcPr>
                  <w:tcW w:w="460" w:type="pct"/>
                  <w:tcBorders>
                    <w:top w:val="single" w:color="auto" w:sz="12" w:space="0"/>
                  </w:tcBorders>
                  <w:shd w:val="clear" w:color="auto" w:fill="auto"/>
                  <w:vAlign w:val="center"/>
                </w:tcPr>
                <w:p>
                  <w:pPr>
                    <w:widowControl/>
                    <w:jc w:val="center"/>
                    <w:rPr>
                      <w:kern w:val="0"/>
                      <w:sz w:val="18"/>
                      <w:szCs w:val="18"/>
                    </w:rPr>
                  </w:pPr>
                  <w:r>
                    <w:rPr>
                      <w:rFonts w:hint="eastAsia"/>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Merge w:val="continue"/>
                  <w:shd w:val="clear" w:color="auto" w:fill="auto"/>
                  <w:vAlign w:val="center"/>
                </w:tcPr>
                <w:p>
                  <w:pPr>
                    <w:widowControl/>
                    <w:jc w:val="center"/>
                    <w:rPr>
                      <w:kern w:val="0"/>
                      <w:sz w:val="18"/>
                      <w:szCs w:val="18"/>
                    </w:rPr>
                  </w:pPr>
                </w:p>
              </w:tc>
              <w:tc>
                <w:tcPr>
                  <w:tcW w:w="1062" w:type="pct"/>
                  <w:shd w:val="clear" w:color="auto" w:fill="auto"/>
                  <w:vAlign w:val="center"/>
                </w:tcPr>
                <w:p>
                  <w:pPr>
                    <w:widowControl/>
                    <w:jc w:val="center"/>
                    <w:rPr>
                      <w:kern w:val="0"/>
                      <w:sz w:val="18"/>
                      <w:szCs w:val="18"/>
                    </w:rPr>
                  </w:pPr>
                  <w:r>
                    <w:rPr>
                      <w:kern w:val="0"/>
                      <w:sz w:val="18"/>
                      <w:szCs w:val="18"/>
                    </w:rPr>
                    <w:t>五日生化需氧量（mg/L）</w:t>
                  </w:r>
                </w:p>
              </w:tc>
              <w:tc>
                <w:tcPr>
                  <w:tcW w:w="924" w:type="pct"/>
                  <w:shd w:val="clear" w:color="auto" w:fill="auto"/>
                  <w:vAlign w:val="center"/>
                </w:tcPr>
                <w:p>
                  <w:pPr>
                    <w:widowControl/>
                    <w:jc w:val="center"/>
                    <w:rPr>
                      <w:kern w:val="0"/>
                      <w:sz w:val="18"/>
                      <w:szCs w:val="18"/>
                    </w:rPr>
                  </w:pPr>
                  <w:r>
                    <w:rPr>
                      <w:kern w:val="0"/>
                      <w:sz w:val="18"/>
                      <w:szCs w:val="18"/>
                    </w:rPr>
                    <w:t>B-220309FS01001</w:t>
                  </w:r>
                </w:p>
              </w:tc>
              <w:tc>
                <w:tcPr>
                  <w:tcW w:w="526" w:type="pct"/>
                  <w:shd w:val="clear" w:color="auto" w:fill="auto"/>
                  <w:vAlign w:val="center"/>
                </w:tcPr>
                <w:p>
                  <w:pPr>
                    <w:widowControl/>
                    <w:jc w:val="center"/>
                    <w:rPr>
                      <w:kern w:val="0"/>
                      <w:sz w:val="18"/>
                      <w:szCs w:val="18"/>
                    </w:rPr>
                  </w:pPr>
                  <w:r>
                    <w:rPr>
                      <w:rFonts w:hint="eastAsia"/>
                      <w:kern w:val="0"/>
                      <w:sz w:val="18"/>
                      <w:szCs w:val="18"/>
                    </w:rPr>
                    <w:t>12.2</w:t>
                  </w:r>
                </w:p>
              </w:tc>
              <w:tc>
                <w:tcPr>
                  <w:tcW w:w="473" w:type="pct"/>
                  <w:shd w:val="clear" w:color="auto" w:fill="auto"/>
                  <w:vAlign w:val="center"/>
                </w:tcPr>
                <w:p>
                  <w:pPr>
                    <w:widowControl/>
                    <w:jc w:val="center"/>
                    <w:rPr>
                      <w:kern w:val="0"/>
                      <w:sz w:val="18"/>
                      <w:szCs w:val="18"/>
                    </w:rPr>
                  </w:pPr>
                  <w:r>
                    <w:rPr>
                      <w:rFonts w:hint="eastAsia"/>
                      <w:kern w:val="0"/>
                      <w:sz w:val="18"/>
                      <w:szCs w:val="18"/>
                    </w:rPr>
                    <w:t>14.2</w:t>
                  </w:r>
                </w:p>
              </w:tc>
              <w:tc>
                <w:tcPr>
                  <w:tcW w:w="578" w:type="pct"/>
                  <w:shd w:val="clear" w:color="auto" w:fill="auto"/>
                  <w:vAlign w:val="center"/>
                </w:tcPr>
                <w:p>
                  <w:pPr>
                    <w:widowControl/>
                    <w:jc w:val="center"/>
                    <w:rPr>
                      <w:kern w:val="0"/>
                      <w:sz w:val="18"/>
                      <w:szCs w:val="18"/>
                    </w:rPr>
                  </w:pPr>
                  <w:r>
                    <w:rPr>
                      <w:rFonts w:hint="eastAsia"/>
                      <w:kern w:val="0"/>
                      <w:sz w:val="18"/>
                      <w:szCs w:val="18"/>
                    </w:rPr>
                    <w:t>7.6</w:t>
                  </w:r>
                </w:p>
              </w:tc>
              <w:tc>
                <w:tcPr>
                  <w:tcW w:w="556" w:type="pct"/>
                  <w:shd w:val="clear" w:color="auto" w:fill="auto"/>
                  <w:vAlign w:val="center"/>
                </w:tcPr>
                <w:p>
                  <w:pPr>
                    <w:widowControl/>
                    <w:jc w:val="center"/>
                    <w:rPr>
                      <w:kern w:val="0"/>
                      <w:sz w:val="18"/>
                      <w:szCs w:val="18"/>
                    </w:rPr>
                  </w:pPr>
                  <w:r>
                    <w:rPr>
                      <w:rFonts w:hint="eastAsia"/>
                      <w:kern w:val="0"/>
                      <w:sz w:val="18"/>
                      <w:szCs w:val="18"/>
                    </w:rPr>
                    <w:t>15</w:t>
                  </w:r>
                </w:p>
              </w:tc>
              <w:tc>
                <w:tcPr>
                  <w:tcW w:w="460" w:type="pct"/>
                  <w:shd w:val="clear" w:color="auto" w:fill="auto"/>
                  <w:vAlign w:val="center"/>
                </w:tcPr>
                <w:p>
                  <w:pPr>
                    <w:widowControl/>
                    <w:jc w:val="center"/>
                    <w:rPr>
                      <w:kern w:val="0"/>
                      <w:sz w:val="18"/>
                      <w:szCs w:val="18"/>
                    </w:rPr>
                  </w:pPr>
                  <w:r>
                    <w:rPr>
                      <w:rFonts w:hint="eastAsia"/>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vMerge w:val="continue"/>
                  <w:shd w:val="clear" w:color="auto" w:fill="auto"/>
                  <w:vAlign w:val="center"/>
                </w:tcPr>
                <w:p>
                  <w:pPr>
                    <w:widowControl/>
                    <w:jc w:val="center"/>
                    <w:rPr>
                      <w:kern w:val="0"/>
                      <w:sz w:val="18"/>
                      <w:szCs w:val="18"/>
                    </w:rPr>
                  </w:pPr>
                </w:p>
              </w:tc>
              <w:tc>
                <w:tcPr>
                  <w:tcW w:w="1062" w:type="pct"/>
                  <w:shd w:val="clear" w:color="auto" w:fill="auto"/>
                  <w:vAlign w:val="center"/>
                </w:tcPr>
                <w:p>
                  <w:pPr>
                    <w:widowControl/>
                    <w:jc w:val="center"/>
                    <w:rPr>
                      <w:kern w:val="0"/>
                      <w:sz w:val="18"/>
                      <w:szCs w:val="18"/>
                    </w:rPr>
                  </w:pPr>
                  <w:r>
                    <w:rPr>
                      <w:kern w:val="0"/>
                      <w:sz w:val="18"/>
                      <w:szCs w:val="18"/>
                    </w:rPr>
                    <w:t>氨氮（mg/L）</w:t>
                  </w:r>
                </w:p>
              </w:tc>
              <w:tc>
                <w:tcPr>
                  <w:tcW w:w="924" w:type="pct"/>
                  <w:shd w:val="clear" w:color="auto" w:fill="auto"/>
                  <w:vAlign w:val="center"/>
                </w:tcPr>
                <w:p>
                  <w:pPr>
                    <w:widowControl/>
                    <w:jc w:val="center"/>
                    <w:rPr>
                      <w:kern w:val="0"/>
                      <w:sz w:val="18"/>
                      <w:szCs w:val="18"/>
                    </w:rPr>
                  </w:pPr>
                  <w:r>
                    <w:rPr>
                      <w:kern w:val="0"/>
                      <w:sz w:val="18"/>
                      <w:szCs w:val="18"/>
                    </w:rPr>
                    <w:t>B-220309FS01001</w:t>
                  </w:r>
                </w:p>
              </w:tc>
              <w:tc>
                <w:tcPr>
                  <w:tcW w:w="526" w:type="pct"/>
                  <w:shd w:val="clear" w:color="auto" w:fill="auto"/>
                  <w:vAlign w:val="center"/>
                </w:tcPr>
                <w:p>
                  <w:pPr>
                    <w:widowControl/>
                    <w:jc w:val="center"/>
                    <w:rPr>
                      <w:kern w:val="0"/>
                      <w:sz w:val="18"/>
                      <w:szCs w:val="18"/>
                    </w:rPr>
                  </w:pPr>
                  <w:r>
                    <w:rPr>
                      <w:rFonts w:hint="eastAsia"/>
                      <w:kern w:val="0"/>
                      <w:sz w:val="18"/>
                      <w:szCs w:val="18"/>
                    </w:rPr>
                    <w:t>0.198</w:t>
                  </w:r>
                </w:p>
              </w:tc>
              <w:tc>
                <w:tcPr>
                  <w:tcW w:w="473" w:type="pct"/>
                  <w:shd w:val="clear" w:color="auto" w:fill="auto"/>
                  <w:vAlign w:val="center"/>
                </w:tcPr>
                <w:p>
                  <w:pPr>
                    <w:widowControl/>
                    <w:jc w:val="center"/>
                    <w:rPr>
                      <w:kern w:val="0"/>
                      <w:sz w:val="18"/>
                      <w:szCs w:val="18"/>
                    </w:rPr>
                  </w:pPr>
                  <w:r>
                    <w:rPr>
                      <w:rFonts w:hint="eastAsia"/>
                      <w:kern w:val="0"/>
                      <w:sz w:val="18"/>
                      <w:szCs w:val="18"/>
                    </w:rPr>
                    <w:t>0.204</w:t>
                  </w:r>
                </w:p>
              </w:tc>
              <w:tc>
                <w:tcPr>
                  <w:tcW w:w="578" w:type="pct"/>
                  <w:shd w:val="clear" w:color="auto" w:fill="auto"/>
                  <w:vAlign w:val="center"/>
                </w:tcPr>
                <w:p>
                  <w:pPr>
                    <w:widowControl/>
                    <w:jc w:val="center"/>
                    <w:rPr>
                      <w:kern w:val="0"/>
                      <w:sz w:val="18"/>
                      <w:szCs w:val="18"/>
                    </w:rPr>
                  </w:pPr>
                  <w:r>
                    <w:rPr>
                      <w:rFonts w:hint="eastAsia"/>
                      <w:kern w:val="0"/>
                      <w:sz w:val="18"/>
                      <w:szCs w:val="18"/>
                    </w:rPr>
                    <w:t>1.5</w:t>
                  </w:r>
                </w:p>
              </w:tc>
              <w:tc>
                <w:tcPr>
                  <w:tcW w:w="556" w:type="pct"/>
                  <w:shd w:val="clear" w:color="auto" w:fill="auto"/>
                  <w:vAlign w:val="center"/>
                </w:tcPr>
                <w:p>
                  <w:pPr>
                    <w:widowControl/>
                    <w:jc w:val="center"/>
                    <w:rPr>
                      <w:kern w:val="0"/>
                      <w:sz w:val="18"/>
                      <w:szCs w:val="18"/>
                    </w:rPr>
                  </w:pPr>
                  <w:r>
                    <w:rPr>
                      <w:rFonts w:hint="eastAsia"/>
                      <w:kern w:val="0"/>
                      <w:sz w:val="18"/>
                      <w:szCs w:val="18"/>
                    </w:rPr>
                    <w:t>10</w:t>
                  </w:r>
                </w:p>
              </w:tc>
              <w:tc>
                <w:tcPr>
                  <w:tcW w:w="460" w:type="pct"/>
                  <w:shd w:val="clear" w:color="auto" w:fill="auto"/>
                  <w:vAlign w:val="center"/>
                </w:tcPr>
                <w:p>
                  <w:pPr>
                    <w:widowControl/>
                    <w:jc w:val="center"/>
                    <w:rPr>
                      <w:kern w:val="0"/>
                      <w:sz w:val="18"/>
                      <w:szCs w:val="18"/>
                    </w:rPr>
                  </w:pPr>
                  <w:r>
                    <w:rPr>
                      <w:rFonts w:hint="eastAsia"/>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 w:type="pct"/>
                  <w:shd w:val="clear" w:color="auto" w:fill="auto"/>
                  <w:vAlign w:val="center"/>
                </w:tcPr>
                <w:p>
                  <w:pPr>
                    <w:widowControl/>
                    <w:jc w:val="center"/>
                    <w:rPr>
                      <w:kern w:val="0"/>
                      <w:sz w:val="18"/>
                      <w:szCs w:val="18"/>
                    </w:rPr>
                  </w:pPr>
                  <w:r>
                    <w:rPr>
                      <w:rFonts w:hint="eastAsia"/>
                      <w:kern w:val="0"/>
                      <w:sz w:val="18"/>
                      <w:szCs w:val="18"/>
                    </w:rPr>
                    <w:t>有组织废气</w:t>
                  </w:r>
                </w:p>
              </w:tc>
              <w:tc>
                <w:tcPr>
                  <w:tcW w:w="1062" w:type="pct"/>
                  <w:shd w:val="clear" w:color="auto" w:fill="auto"/>
                  <w:vAlign w:val="center"/>
                </w:tcPr>
                <w:p>
                  <w:pPr>
                    <w:widowControl/>
                    <w:jc w:val="center"/>
                    <w:rPr>
                      <w:kern w:val="0"/>
                      <w:sz w:val="18"/>
                      <w:szCs w:val="18"/>
                    </w:rPr>
                  </w:pPr>
                  <w:r>
                    <w:rPr>
                      <w:rFonts w:hint="eastAsia"/>
                      <w:kern w:val="0"/>
                      <w:sz w:val="18"/>
                      <w:szCs w:val="18"/>
                    </w:rPr>
                    <w:t>甲醇（</w:t>
                  </w:r>
                  <w:r>
                    <w:rPr>
                      <w:kern w:val="0"/>
                      <w:sz w:val="18"/>
                      <w:szCs w:val="18"/>
                    </w:rPr>
                    <w:t>mg/m</w:t>
                  </w:r>
                  <w:r>
                    <w:rPr>
                      <w:kern w:val="0"/>
                      <w:sz w:val="18"/>
                      <w:szCs w:val="18"/>
                      <w:vertAlign w:val="superscript"/>
                    </w:rPr>
                    <w:t>3</w:t>
                  </w:r>
                  <w:r>
                    <w:rPr>
                      <w:rFonts w:hint="eastAsia"/>
                      <w:kern w:val="0"/>
                      <w:sz w:val="18"/>
                      <w:szCs w:val="18"/>
                    </w:rPr>
                    <w:t>）</w:t>
                  </w:r>
                </w:p>
              </w:tc>
              <w:tc>
                <w:tcPr>
                  <w:tcW w:w="924" w:type="pct"/>
                  <w:shd w:val="clear" w:color="auto" w:fill="auto"/>
                  <w:vAlign w:val="center"/>
                </w:tcPr>
                <w:p>
                  <w:pPr>
                    <w:widowControl/>
                    <w:jc w:val="center"/>
                    <w:rPr>
                      <w:kern w:val="0"/>
                      <w:sz w:val="18"/>
                      <w:szCs w:val="18"/>
                    </w:rPr>
                  </w:pPr>
                  <w:r>
                    <w:rPr>
                      <w:rFonts w:hint="eastAsia"/>
                      <w:kern w:val="0"/>
                      <w:sz w:val="18"/>
                      <w:szCs w:val="18"/>
                    </w:rPr>
                    <w:t>B-220309YQ01001JC</w:t>
                  </w:r>
                </w:p>
              </w:tc>
              <w:tc>
                <w:tcPr>
                  <w:tcW w:w="526" w:type="pct"/>
                  <w:shd w:val="clear" w:color="auto" w:fill="auto"/>
                  <w:vAlign w:val="center"/>
                </w:tcPr>
                <w:p>
                  <w:pPr>
                    <w:widowControl/>
                    <w:jc w:val="center"/>
                    <w:rPr>
                      <w:kern w:val="0"/>
                      <w:sz w:val="18"/>
                      <w:szCs w:val="18"/>
                    </w:rPr>
                  </w:pPr>
                  <w:r>
                    <w:rPr>
                      <w:rFonts w:hint="eastAsia"/>
                      <w:kern w:val="0"/>
                      <w:sz w:val="18"/>
                      <w:szCs w:val="18"/>
                    </w:rPr>
                    <w:t>ND（2）</w:t>
                  </w:r>
                </w:p>
              </w:tc>
              <w:tc>
                <w:tcPr>
                  <w:tcW w:w="473" w:type="pct"/>
                  <w:shd w:val="clear" w:color="auto" w:fill="auto"/>
                  <w:vAlign w:val="center"/>
                </w:tcPr>
                <w:p>
                  <w:pPr>
                    <w:widowControl/>
                    <w:jc w:val="center"/>
                    <w:rPr>
                      <w:kern w:val="0"/>
                      <w:sz w:val="18"/>
                      <w:szCs w:val="18"/>
                    </w:rPr>
                  </w:pPr>
                  <w:r>
                    <w:rPr>
                      <w:rFonts w:hint="eastAsia"/>
                      <w:kern w:val="0"/>
                      <w:sz w:val="18"/>
                      <w:szCs w:val="18"/>
                    </w:rPr>
                    <w:t>ND（2）</w:t>
                  </w:r>
                </w:p>
              </w:tc>
              <w:tc>
                <w:tcPr>
                  <w:tcW w:w="578" w:type="pct"/>
                  <w:shd w:val="clear" w:color="auto" w:fill="auto"/>
                  <w:vAlign w:val="center"/>
                </w:tcPr>
                <w:p>
                  <w:pPr>
                    <w:widowControl/>
                    <w:jc w:val="center"/>
                    <w:rPr>
                      <w:kern w:val="0"/>
                      <w:sz w:val="18"/>
                      <w:szCs w:val="18"/>
                    </w:rPr>
                  </w:pPr>
                  <w:r>
                    <w:rPr>
                      <w:rFonts w:hint="eastAsia"/>
                      <w:kern w:val="0"/>
                      <w:sz w:val="18"/>
                      <w:szCs w:val="18"/>
                    </w:rPr>
                    <w:t>0.0</w:t>
                  </w:r>
                </w:p>
              </w:tc>
              <w:tc>
                <w:tcPr>
                  <w:tcW w:w="556" w:type="pct"/>
                  <w:shd w:val="clear" w:color="auto" w:fill="auto"/>
                  <w:vAlign w:val="center"/>
                </w:tcPr>
                <w:p>
                  <w:pPr>
                    <w:widowControl/>
                    <w:jc w:val="center"/>
                    <w:rPr>
                      <w:kern w:val="0"/>
                      <w:sz w:val="18"/>
                      <w:szCs w:val="18"/>
                    </w:rPr>
                  </w:pPr>
                  <w:r>
                    <w:rPr>
                      <w:rFonts w:hint="eastAsia"/>
                      <w:kern w:val="0"/>
                      <w:sz w:val="18"/>
                      <w:szCs w:val="18"/>
                    </w:rPr>
                    <w:t>30</w:t>
                  </w:r>
                </w:p>
              </w:tc>
              <w:tc>
                <w:tcPr>
                  <w:tcW w:w="460" w:type="pct"/>
                  <w:shd w:val="clear" w:color="auto" w:fill="auto"/>
                  <w:vAlign w:val="center"/>
                </w:tcPr>
                <w:p>
                  <w:pPr>
                    <w:widowControl/>
                    <w:jc w:val="center"/>
                    <w:rPr>
                      <w:kern w:val="0"/>
                      <w:sz w:val="18"/>
                      <w:szCs w:val="18"/>
                    </w:rPr>
                  </w:pPr>
                  <w:r>
                    <w:rPr>
                      <w:rFonts w:hint="eastAsia"/>
                      <w:kern w:val="0"/>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8"/>
                  <w:shd w:val="clear" w:color="auto" w:fill="auto"/>
                  <w:vAlign w:val="center"/>
                </w:tcPr>
                <w:p>
                  <w:pPr>
                    <w:widowControl/>
                    <w:rPr>
                      <w:kern w:val="0"/>
                      <w:sz w:val="18"/>
                      <w:szCs w:val="18"/>
                    </w:rPr>
                  </w:pPr>
                  <w:r>
                    <w:rPr>
                      <w:kern w:val="0"/>
                      <w:sz w:val="18"/>
                      <w:szCs w:val="18"/>
                    </w:rPr>
                    <w:t>备注：“ND”表示本次监测结果为“未检出”或低于方法检出限，具体检出限见第5.1章节。</w:t>
                  </w:r>
                </w:p>
              </w:tc>
            </w:tr>
          </w:tbl>
          <w:p>
            <w:pPr>
              <w:spacing w:before="156"/>
              <w:jc w:val="center"/>
              <w:rPr>
                <w:rFonts w:eastAsia="黑体"/>
                <w:color w:val="000000" w:themeColor="text1"/>
                <w14:textFill>
                  <w14:solidFill>
                    <w14:schemeClr w14:val="tx1"/>
                  </w14:solidFill>
                </w14:textFill>
              </w:rPr>
            </w:pPr>
            <w:r>
              <w:rPr>
                <w:rFonts w:eastAsia="黑体"/>
                <w:color w:val="000000" w:themeColor="text1"/>
                <w14:textFill>
                  <w14:solidFill>
                    <w14:schemeClr w14:val="tx1"/>
                  </w14:solidFill>
                </w14:textFill>
              </w:rPr>
              <w:t>表5-</w:t>
            </w:r>
            <w:r>
              <w:rPr>
                <w:rFonts w:hint="eastAsia" w:eastAsia="黑体"/>
                <w:color w:val="000000" w:themeColor="text1"/>
                <w14:textFill>
                  <w14:solidFill>
                    <w14:schemeClr w14:val="tx1"/>
                  </w14:solidFill>
                </w14:textFill>
              </w:rPr>
              <w:t>6</w:t>
            </w:r>
            <w:r>
              <w:rPr>
                <w:rFonts w:eastAsia="黑体"/>
                <w:color w:val="000000" w:themeColor="text1"/>
                <w14:textFill>
                  <w14:solidFill>
                    <w14:schemeClr w14:val="tx1"/>
                  </w14:solidFill>
                </w14:textFill>
              </w:rPr>
              <w:t xml:space="preserve"> 声级计校准结果</w:t>
            </w:r>
          </w:p>
          <w:tbl>
            <w:tblPr>
              <w:tblStyle w:val="28"/>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90"/>
              <w:gridCol w:w="1362"/>
              <w:gridCol w:w="1308"/>
              <w:gridCol w:w="1829"/>
              <w:gridCol w:w="2660"/>
              <w:gridCol w:w="8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00" w:type="pct"/>
                  <w:tcBorders>
                    <w:top w:val="single" w:color="auto" w:sz="12" w:space="0"/>
                    <w:bottom w:val="single" w:color="auto" w:sz="12" w:space="0"/>
                  </w:tcBorders>
                  <w:shd w:val="clear" w:color="auto" w:fill="auto"/>
                  <w:vAlign w:val="center"/>
                </w:tcPr>
                <w:p>
                  <w:pPr>
                    <w:pStyle w:val="91"/>
                    <w:widowControl/>
                    <w:ind w:left="-105" w:leftChars="-50" w:right="-105" w:rightChars="-50" w:firstLine="0" w:firstLineChars="0"/>
                    <w:jc w:val="center"/>
                    <w:rPr>
                      <w:rFonts w:ascii="Times New Roman" w:hAnsi="Times New Roman"/>
                      <w:b/>
                      <w:bCs/>
                      <w:sz w:val="18"/>
                      <w:szCs w:val="18"/>
                    </w:rPr>
                  </w:pPr>
                  <w:r>
                    <w:rPr>
                      <w:rFonts w:hint="eastAsia" w:ascii="Times New Roman" w:hAnsi="Times New Roman"/>
                      <w:b/>
                      <w:bCs/>
                      <w:sz w:val="18"/>
                      <w:szCs w:val="18"/>
                    </w:rPr>
                    <w:t>检测日期</w:t>
                  </w:r>
                </w:p>
              </w:tc>
              <w:tc>
                <w:tcPr>
                  <w:tcW w:w="751" w:type="pct"/>
                  <w:tcBorders>
                    <w:top w:val="single" w:color="auto" w:sz="12" w:space="0"/>
                    <w:bottom w:val="single" w:color="auto" w:sz="12" w:space="0"/>
                  </w:tcBorders>
                  <w:shd w:val="clear" w:color="auto" w:fill="auto"/>
                  <w:vAlign w:val="center"/>
                </w:tcPr>
                <w:p>
                  <w:pPr>
                    <w:pStyle w:val="91"/>
                    <w:widowControl/>
                    <w:ind w:left="-105" w:leftChars="-50" w:right="-105" w:rightChars="-50" w:firstLine="0" w:firstLineChars="0"/>
                    <w:jc w:val="center"/>
                    <w:rPr>
                      <w:rFonts w:ascii="Times New Roman" w:hAnsi="Times New Roman"/>
                      <w:b/>
                      <w:bCs/>
                      <w:sz w:val="18"/>
                      <w:szCs w:val="18"/>
                    </w:rPr>
                  </w:pPr>
                  <w:r>
                    <w:rPr>
                      <w:rFonts w:ascii="Times New Roman" w:hAnsi="Times New Roman"/>
                      <w:b/>
                      <w:bCs/>
                      <w:sz w:val="18"/>
                      <w:szCs w:val="18"/>
                    </w:rPr>
                    <w:t>检测前校准</w:t>
                  </w:r>
                  <w:r>
                    <w:rPr>
                      <w:rFonts w:hint="eastAsia" w:ascii="Times New Roman" w:hAnsi="Times New Roman"/>
                      <w:b/>
                      <w:bCs/>
                      <w:sz w:val="18"/>
                      <w:szCs w:val="18"/>
                    </w:rPr>
                    <w:t>示</w:t>
                  </w:r>
                  <w:r>
                    <w:rPr>
                      <w:rFonts w:ascii="Times New Roman" w:hAnsi="Times New Roman"/>
                      <w:b/>
                      <w:bCs/>
                      <w:sz w:val="18"/>
                      <w:szCs w:val="18"/>
                    </w:rPr>
                    <w:t>值</w:t>
                  </w:r>
                </w:p>
              </w:tc>
              <w:tc>
                <w:tcPr>
                  <w:tcW w:w="721" w:type="pct"/>
                  <w:tcBorders>
                    <w:top w:val="single" w:color="auto" w:sz="12" w:space="0"/>
                    <w:bottom w:val="single" w:color="auto" w:sz="12" w:space="0"/>
                  </w:tcBorders>
                  <w:shd w:val="clear" w:color="auto" w:fill="auto"/>
                  <w:vAlign w:val="center"/>
                </w:tcPr>
                <w:p>
                  <w:pPr>
                    <w:pStyle w:val="91"/>
                    <w:widowControl/>
                    <w:ind w:left="-105" w:leftChars="-50" w:right="-105" w:rightChars="-50" w:firstLine="0" w:firstLineChars="0"/>
                    <w:jc w:val="center"/>
                    <w:rPr>
                      <w:rFonts w:ascii="Times New Roman" w:hAnsi="Times New Roman"/>
                      <w:b/>
                      <w:bCs/>
                      <w:sz w:val="18"/>
                      <w:szCs w:val="18"/>
                    </w:rPr>
                  </w:pPr>
                  <w:r>
                    <w:rPr>
                      <w:rFonts w:hint="eastAsia" w:ascii="Times New Roman" w:hAnsi="Times New Roman"/>
                      <w:b/>
                      <w:bCs/>
                      <w:sz w:val="18"/>
                      <w:szCs w:val="18"/>
                    </w:rPr>
                    <w:t>检</w:t>
                  </w:r>
                  <w:r>
                    <w:rPr>
                      <w:rFonts w:ascii="Times New Roman" w:hAnsi="Times New Roman"/>
                      <w:b/>
                      <w:bCs/>
                      <w:sz w:val="18"/>
                      <w:szCs w:val="18"/>
                    </w:rPr>
                    <w:t>测后校准示值</w:t>
                  </w:r>
                </w:p>
              </w:tc>
              <w:tc>
                <w:tcPr>
                  <w:tcW w:w="1007" w:type="pct"/>
                  <w:tcBorders>
                    <w:top w:val="single" w:color="auto" w:sz="12" w:space="0"/>
                    <w:bottom w:val="single" w:color="auto" w:sz="12" w:space="0"/>
                  </w:tcBorders>
                  <w:vAlign w:val="center"/>
                </w:tcPr>
                <w:p>
                  <w:pPr>
                    <w:pStyle w:val="91"/>
                    <w:widowControl/>
                    <w:ind w:left="-105" w:leftChars="-50" w:right="-105" w:rightChars="-50" w:firstLine="0" w:firstLineChars="0"/>
                    <w:jc w:val="center"/>
                    <w:rPr>
                      <w:rFonts w:ascii="Times New Roman" w:hAnsi="Times New Roman"/>
                      <w:b/>
                      <w:bCs/>
                      <w:sz w:val="18"/>
                      <w:szCs w:val="18"/>
                    </w:rPr>
                  </w:pPr>
                  <w:r>
                    <w:rPr>
                      <w:rFonts w:hint="eastAsia" w:ascii="Times New Roman" w:hAnsi="Times New Roman"/>
                      <w:b/>
                      <w:bCs/>
                      <w:sz w:val="18"/>
                      <w:szCs w:val="18"/>
                    </w:rPr>
                    <w:t>检测前后</w:t>
                  </w:r>
                  <w:r>
                    <w:rPr>
                      <w:rFonts w:ascii="Times New Roman" w:hAnsi="Times New Roman"/>
                      <w:b/>
                      <w:bCs/>
                      <w:sz w:val="18"/>
                      <w:szCs w:val="18"/>
                    </w:rPr>
                    <w:t>校准</w:t>
                  </w:r>
                  <w:r>
                    <w:rPr>
                      <w:rFonts w:hint="eastAsia" w:ascii="Times New Roman" w:hAnsi="Times New Roman"/>
                      <w:b/>
                      <w:bCs/>
                      <w:sz w:val="18"/>
                      <w:szCs w:val="18"/>
                    </w:rPr>
                    <w:t>示值偏差</w:t>
                  </w:r>
                </w:p>
              </w:tc>
              <w:tc>
                <w:tcPr>
                  <w:tcW w:w="1465" w:type="pct"/>
                  <w:tcBorders>
                    <w:top w:val="single" w:color="auto" w:sz="12" w:space="0"/>
                    <w:bottom w:val="single" w:color="auto" w:sz="12" w:space="0"/>
                  </w:tcBorders>
                  <w:shd w:val="clear" w:color="auto" w:fill="auto"/>
                  <w:vAlign w:val="center"/>
                </w:tcPr>
                <w:p>
                  <w:pPr>
                    <w:pStyle w:val="91"/>
                    <w:widowControl/>
                    <w:ind w:left="-105" w:leftChars="-50" w:right="-105" w:rightChars="-50" w:firstLine="0" w:firstLineChars="0"/>
                    <w:jc w:val="center"/>
                    <w:rPr>
                      <w:rFonts w:ascii="Times New Roman" w:hAnsi="Times New Roman"/>
                      <w:b/>
                      <w:bCs/>
                      <w:sz w:val="18"/>
                      <w:szCs w:val="18"/>
                    </w:rPr>
                  </w:pPr>
                  <w:r>
                    <w:rPr>
                      <w:rFonts w:hint="eastAsia" w:ascii="Times New Roman" w:hAnsi="Times New Roman"/>
                      <w:b/>
                      <w:bCs/>
                      <w:sz w:val="18"/>
                      <w:szCs w:val="18"/>
                    </w:rPr>
                    <w:t>检测前后</w:t>
                  </w:r>
                  <w:r>
                    <w:rPr>
                      <w:rFonts w:ascii="Times New Roman" w:hAnsi="Times New Roman"/>
                      <w:b/>
                      <w:bCs/>
                      <w:sz w:val="18"/>
                      <w:szCs w:val="18"/>
                    </w:rPr>
                    <w:t>校准</w:t>
                  </w:r>
                  <w:r>
                    <w:rPr>
                      <w:rFonts w:hint="eastAsia" w:ascii="Times New Roman" w:hAnsi="Times New Roman"/>
                      <w:b/>
                      <w:bCs/>
                      <w:sz w:val="18"/>
                      <w:szCs w:val="18"/>
                    </w:rPr>
                    <w:t>示值偏差允许范围</w:t>
                  </w:r>
                </w:p>
              </w:tc>
              <w:tc>
                <w:tcPr>
                  <w:tcW w:w="453" w:type="pct"/>
                  <w:tcBorders>
                    <w:top w:val="single" w:color="auto" w:sz="12" w:space="0"/>
                    <w:bottom w:val="single" w:color="auto" w:sz="12" w:space="0"/>
                  </w:tcBorders>
                  <w:shd w:val="clear" w:color="auto" w:fill="auto"/>
                  <w:vAlign w:val="center"/>
                </w:tcPr>
                <w:p>
                  <w:pPr>
                    <w:pStyle w:val="91"/>
                    <w:widowControl/>
                    <w:ind w:left="-105" w:leftChars="-50" w:right="-105" w:rightChars="-50" w:firstLine="0" w:firstLineChars="0"/>
                    <w:jc w:val="center"/>
                    <w:rPr>
                      <w:rFonts w:ascii="Times New Roman" w:hAnsi="Times New Roman"/>
                      <w:b/>
                      <w:bCs/>
                      <w:sz w:val="18"/>
                      <w:szCs w:val="18"/>
                    </w:rPr>
                  </w:pPr>
                  <w:r>
                    <w:rPr>
                      <w:rFonts w:hint="eastAsia" w:ascii="Times New Roman" w:hAnsi="Times New Roman"/>
                      <w:b/>
                      <w:bCs/>
                      <w:sz w:val="18"/>
                      <w:szCs w:val="18"/>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pct"/>
                  <w:tcBorders>
                    <w:top w:val="single" w:color="auto" w:sz="12"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hint="eastAsia" w:ascii="Times New Roman" w:hAnsi="Times New Roman"/>
                      <w:sz w:val="18"/>
                      <w:szCs w:val="18"/>
                    </w:rPr>
                    <w:t>2022/3/9</w:t>
                  </w:r>
                </w:p>
              </w:tc>
              <w:tc>
                <w:tcPr>
                  <w:tcW w:w="751" w:type="pct"/>
                  <w:tcBorders>
                    <w:top w:val="single" w:color="auto" w:sz="12" w:space="0"/>
                    <w:bottom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93.8</w:t>
                  </w:r>
                </w:p>
              </w:tc>
              <w:tc>
                <w:tcPr>
                  <w:tcW w:w="721" w:type="pct"/>
                  <w:tcBorders>
                    <w:top w:val="single" w:color="auto" w:sz="12" w:space="0"/>
                    <w:bottom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93.8</w:t>
                  </w:r>
                </w:p>
              </w:tc>
              <w:tc>
                <w:tcPr>
                  <w:tcW w:w="1007" w:type="pct"/>
                  <w:tcBorders>
                    <w:top w:val="single" w:color="auto" w:sz="12" w:space="0"/>
                    <w:bottom w:val="single" w:color="auto" w:sz="4" w:space="0"/>
                  </w:tcBorders>
                  <w:vAlign w:val="center"/>
                </w:tcPr>
                <w:p>
                  <w:pPr>
                    <w:pStyle w:val="91"/>
                    <w:widowControl/>
                    <w:ind w:left="-105" w:leftChars="-50" w:right="-105" w:rightChars="-50" w:firstLine="0" w:firstLineChars="0"/>
                    <w:jc w:val="center"/>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w:t>
                  </w:r>
                </w:p>
              </w:tc>
              <w:tc>
                <w:tcPr>
                  <w:tcW w:w="1465" w:type="pct"/>
                  <w:tcBorders>
                    <w:top w:val="single" w:color="auto" w:sz="12" w:space="0"/>
                    <w:bottom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0.5</w:t>
                  </w:r>
                </w:p>
              </w:tc>
              <w:tc>
                <w:tcPr>
                  <w:tcW w:w="453" w:type="pct"/>
                  <w:tcBorders>
                    <w:top w:val="single" w:color="auto" w:sz="12" w:space="0"/>
                    <w:bottom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00" w:type="pct"/>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hint="eastAsia" w:ascii="Times New Roman" w:hAnsi="Times New Roman"/>
                      <w:sz w:val="18"/>
                      <w:szCs w:val="18"/>
                    </w:rPr>
                    <w:t>2022/3/10</w:t>
                  </w:r>
                </w:p>
              </w:tc>
              <w:tc>
                <w:tcPr>
                  <w:tcW w:w="751" w:type="pct"/>
                  <w:tcBorders>
                    <w:top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93.8</w:t>
                  </w:r>
                </w:p>
              </w:tc>
              <w:tc>
                <w:tcPr>
                  <w:tcW w:w="721" w:type="pct"/>
                  <w:tcBorders>
                    <w:top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93.8</w:t>
                  </w:r>
                </w:p>
              </w:tc>
              <w:tc>
                <w:tcPr>
                  <w:tcW w:w="1007" w:type="pct"/>
                  <w:tcBorders>
                    <w:top w:val="single" w:color="auto" w:sz="4" w:space="0"/>
                  </w:tcBorders>
                  <w:vAlign w:val="center"/>
                </w:tcPr>
                <w:p>
                  <w:pPr>
                    <w:pStyle w:val="91"/>
                    <w:widowControl/>
                    <w:ind w:left="-105" w:leftChars="-50" w:right="-105" w:rightChars="-50" w:firstLine="0" w:firstLineChars="0"/>
                    <w:jc w:val="center"/>
                    <w:rPr>
                      <w:rFonts w:ascii="Times New Roman" w:hAnsi="Times New Roman"/>
                      <w:sz w:val="18"/>
                      <w:szCs w:val="18"/>
                    </w:rPr>
                  </w:pPr>
                  <w:r>
                    <w:rPr>
                      <w:rFonts w:hint="eastAsia" w:ascii="Times New Roman" w:hAnsi="Times New Roman"/>
                      <w:sz w:val="18"/>
                      <w:szCs w:val="18"/>
                    </w:rPr>
                    <w:t>0</w:t>
                  </w:r>
                  <w:r>
                    <w:rPr>
                      <w:rFonts w:ascii="Times New Roman" w:hAnsi="Times New Roman"/>
                      <w:sz w:val="18"/>
                      <w:szCs w:val="18"/>
                    </w:rPr>
                    <w:t>.0</w:t>
                  </w:r>
                </w:p>
              </w:tc>
              <w:tc>
                <w:tcPr>
                  <w:tcW w:w="1465" w:type="pct"/>
                  <w:tcBorders>
                    <w:top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0.5</w:t>
                  </w:r>
                </w:p>
              </w:tc>
              <w:tc>
                <w:tcPr>
                  <w:tcW w:w="453" w:type="pct"/>
                  <w:tcBorders>
                    <w:top w:val="single" w:color="auto" w:sz="4" w:space="0"/>
                  </w:tcBorders>
                  <w:shd w:val="clear" w:color="auto" w:fill="auto"/>
                  <w:vAlign w:val="center"/>
                </w:tcPr>
                <w:p>
                  <w:pPr>
                    <w:pStyle w:val="91"/>
                    <w:widowControl/>
                    <w:ind w:left="-105" w:leftChars="-50" w:right="-105" w:rightChars="-50" w:firstLine="0" w:firstLineChars="0"/>
                    <w:jc w:val="center"/>
                    <w:rPr>
                      <w:rFonts w:ascii="Times New Roman" w:hAnsi="Times New Roman"/>
                      <w:sz w:val="18"/>
                      <w:szCs w:val="18"/>
                    </w:rPr>
                  </w:pPr>
                  <w:r>
                    <w:rPr>
                      <w:rFonts w:ascii="Times New Roman" w:hAnsi="Times New Roman"/>
                      <w:sz w:val="18"/>
                      <w:szCs w:val="18"/>
                    </w:rPr>
                    <w:t>合格</w:t>
                  </w:r>
                </w:p>
              </w:tc>
            </w:tr>
          </w:tbl>
          <w:p>
            <w:pPr>
              <w:pStyle w:val="87"/>
              <w:spacing w:line="360" w:lineRule="auto"/>
              <w:ind w:firstLine="0" w:firstLineChars="0"/>
              <w:rPr>
                <w:color w:val="000000" w:themeColor="text1"/>
                <w:highlight w:val="yellow"/>
                <w14:textFill>
                  <w14:solidFill>
                    <w14:schemeClr w14:val="tx1"/>
                  </w14:solidFill>
                </w14:textFill>
              </w:rPr>
            </w:pPr>
          </w:p>
        </w:tc>
      </w:tr>
    </w:tbl>
    <w:p>
      <w:pPr>
        <w:pStyle w:val="5"/>
        <w:rPr>
          <w:rFonts w:ascii="Times New Roman" w:hAnsi="Times New Roman"/>
          <w:color w:val="000000" w:themeColor="text1"/>
          <w14:textFill>
            <w14:solidFill>
              <w14:schemeClr w14:val="tx1"/>
            </w14:solidFill>
          </w14:textFill>
        </w:rPr>
      </w:pPr>
      <w:bookmarkStart w:id="13" w:name="_Toc525552351"/>
      <w:r>
        <w:rPr>
          <w:rFonts w:ascii="Times New Roman" w:hAnsi="Times New Roman"/>
          <w:color w:val="000000" w:themeColor="text1"/>
          <w14:textFill>
            <w14:solidFill>
              <w14:schemeClr w14:val="tx1"/>
            </w14:solidFill>
          </w14:textFill>
        </w:rPr>
        <w:t>表六  验收监测内容</w:t>
      </w:r>
      <w:bookmarkEnd w:id="13"/>
    </w:p>
    <w:tbl>
      <w:tblPr>
        <w:tblStyle w:val="28"/>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9286" w:type="dxa"/>
            <w:tcBorders>
              <w:top w:val="single" w:color="auto" w:sz="12" w:space="0"/>
              <w:left w:val="single" w:color="auto" w:sz="12" w:space="0"/>
              <w:bottom w:val="single" w:color="auto" w:sz="12" w:space="0"/>
              <w:right w:val="single" w:color="auto" w:sz="12" w:space="0"/>
            </w:tcBorders>
          </w:tcPr>
          <w:p>
            <w:pPr>
              <w:spacing w:line="440" w:lineRule="exact"/>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针对环评提出的三同时验收一览表，在资料收集、实地踏勘论证的基础上，以建设项目环境影响报告表、批复要求为依据，对项目污染源及其环保设施进行检测、检查和验收。</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6.1废气</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6.1.1有组织废气</w:t>
            </w:r>
          </w:p>
          <w:p>
            <w:pPr>
              <w:spacing w:line="360" w:lineRule="auto"/>
              <w:ind w:firstLine="483"/>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监测点位：实验室</w:t>
            </w:r>
            <w:r>
              <w:rPr>
                <w:rFonts w:hint="eastAsia"/>
                <w:color w:val="000000" w:themeColor="text1"/>
                <w:sz w:val="24"/>
                <w14:textFill>
                  <w14:solidFill>
                    <w14:schemeClr w14:val="tx1"/>
                  </w14:solidFill>
                </w14:textFill>
              </w:rPr>
              <w:t>废气</w:t>
            </w:r>
            <w:r>
              <w:rPr>
                <w:color w:val="000000" w:themeColor="text1"/>
                <w:sz w:val="24"/>
                <w14:textFill>
                  <w14:solidFill>
                    <w14:schemeClr w14:val="tx1"/>
                  </w14:solidFill>
                </w14:textFill>
              </w:rPr>
              <w:t>排气筒出口处布设</w:t>
            </w:r>
            <w:r>
              <w:rPr>
                <w:rFonts w:hint="eastAsia"/>
                <w:color w:val="000000" w:themeColor="text1"/>
                <w:sz w:val="24"/>
                <w14:textFill>
                  <w14:solidFill>
                    <w14:schemeClr w14:val="tx1"/>
                  </w14:solidFill>
                </w14:textFill>
              </w:rPr>
              <w:t>1个监测点位</w:t>
            </w:r>
            <w:r>
              <w:rPr>
                <w:color w:val="000000" w:themeColor="text1"/>
                <w:sz w:val="24"/>
                <w14:textFill>
                  <w14:solidFill>
                    <w14:schemeClr w14:val="tx1"/>
                  </w14:solidFill>
                </w14:textFill>
              </w:rPr>
              <w:t>（</w:t>
            </w:r>
            <w:r>
              <w:rPr>
                <w:rFonts w:hint="eastAsia" w:eastAsiaTheme="minorEastAsia"/>
                <w:szCs w:val="21"/>
              </w:rPr>
              <w:t>◎</w:t>
            </w: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w:t>
            </w:r>
            <w:r>
              <w:rPr>
                <w:rFonts w:hint="eastAsia"/>
                <w:color w:val="000000" w:themeColor="text1"/>
                <w:sz w:val="24"/>
                <w14:textFill>
                  <w14:solidFill>
                    <w14:schemeClr w14:val="tx1"/>
                  </w14:solidFill>
                </w14:textFill>
              </w:rPr>
              <w:t>甲醇</w:t>
            </w:r>
            <w:r>
              <w:rPr>
                <w:color w:val="000000" w:themeColor="text1"/>
                <w:sz w:val="24"/>
                <w14:textFill>
                  <w14:solidFill>
                    <w14:schemeClr w14:val="tx1"/>
                  </w14:solidFill>
                </w14:textFill>
              </w:rPr>
              <w:t>、烟气参数。</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监测频次：每天监测3次，</w:t>
            </w:r>
            <w:r>
              <w:rPr>
                <w:rFonts w:hint="eastAsia"/>
                <w:color w:val="000000" w:themeColor="text1"/>
                <w:sz w:val="24"/>
                <w14:textFill>
                  <w14:solidFill>
                    <w14:schemeClr w14:val="tx1"/>
                  </w14:solidFill>
                </w14:textFill>
              </w:rPr>
              <w:t>连续</w:t>
            </w:r>
            <w:r>
              <w:rPr>
                <w:color w:val="000000" w:themeColor="text1"/>
                <w:sz w:val="24"/>
                <w14:textFill>
                  <w14:solidFill>
                    <w14:schemeClr w14:val="tx1"/>
                  </w14:solidFill>
                </w14:textFill>
              </w:rPr>
              <w:t>监测2天。</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6.2废水</w:t>
            </w:r>
          </w:p>
          <w:p>
            <w:pPr>
              <w:spacing w:line="360" w:lineRule="auto"/>
              <w:ind w:firstLine="483"/>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监测点位：项目</w:t>
            </w:r>
            <w:r>
              <w:rPr>
                <w:rFonts w:hint="eastAsia"/>
                <w:color w:val="000000" w:themeColor="text1"/>
                <w:sz w:val="24"/>
                <w14:textFill>
                  <w14:solidFill>
                    <w14:schemeClr w14:val="tx1"/>
                  </w14:solidFill>
                </w14:textFill>
              </w:rPr>
              <w:t>废水排放口及园区污水总排口各</w:t>
            </w:r>
            <w:r>
              <w:rPr>
                <w:color w:val="000000" w:themeColor="text1"/>
                <w:sz w:val="24"/>
                <w14:textFill>
                  <w14:solidFill>
                    <w14:schemeClr w14:val="tx1"/>
                  </w14:solidFill>
                </w14:textFill>
              </w:rPr>
              <w:t>布设1个监测点位（</w:t>
            </w:r>
            <w:r>
              <w:rPr>
                <w:color w:val="000000"/>
                <w:szCs w:val="21"/>
              </w:rPr>
              <w:t>★</w:t>
            </w:r>
            <w:r>
              <w:rPr>
                <w:color w:val="000000" w:themeColor="text1"/>
                <w:sz w:val="24"/>
                <w14:textFill>
                  <w14:solidFill>
                    <w14:schemeClr w14:val="tx1"/>
                  </w14:solidFill>
                </w14:textFill>
              </w:rPr>
              <w:t>1#</w:t>
            </w:r>
            <w:r>
              <w:rPr>
                <w:color w:val="000000"/>
                <w:kern w:val="0"/>
                <w:szCs w:val="21"/>
              </w:rPr>
              <w:t>~</w:t>
            </w:r>
            <w:r>
              <w:rPr>
                <w:color w:val="000000"/>
                <w:szCs w:val="21"/>
              </w:rPr>
              <w:t>★</w:t>
            </w:r>
            <w:r>
              <w:rPr>
                <w:color w:val="000000" w:themeColor="text1"/>
                <w:sz w:val="24"/>
                <w14:textFill>
                  <w14:solidFill>
                    <w14:schemeClr w14:val="tx1"/>
                  </w14:solidFill>
                </w14:textFill>
              </w:rPr>
              <w:t>2#）。</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监测项目：pH值、化学需氧量、五日生化需氧量、氨氮、悬浮物。</w:t>
            </w:r>
          </w:p>
          <w:p>
            <w:pPr>
              <w:spacing w:line="360" w:lineRule="auto"/>
              <w:ind w:right="178" w:rightChars="85"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监测频次：各点位每天监测4次，</w:t>
            </w:r>
            <w:r>
              <w:rPr>
                <w:rFonts w:hint="eastAsia"/>
                <w:color w:val="000000" w:themeColor="text1"/>
                <w:sz w:val="24"/>
                <w14:textFill>
                  <w14:solidFill>
                    <w14:schemeClr w14:val="tx1"/>
                  </w14:solidFill>
                </w14:textFill>
              </w:rPr>
              <w:t>连续</w:t>
            </w:r>
            <w:r>
              <w:rPr>
                <w:color w:val="000000" w:themeColor="text1"/>
                <w:sz w:val="24"/>
                <w14:textFill>
                  <w14:solidFill>
                    <w14:schemeClr w14:val="tx1"/>
                  </w14:solidFill>
                </w14:textFill>
              </w:rPr>
              <w:t>监测2天。</w:t>
            </w:r>
          </w:p>
          <w:p>
            <w:pPr>
              <w:spacing w:line="360" w:lineRule="auto"/>
              <w:ind w:right="178" w:rightChars="85"/>
              <w:rPr>
                <w:rFonts w:eastAsia="黑体"/>
                <w:bCs/>
                <w:color w:val="000000" w:themeColor="text1"/>
                <w:sz w:val="24"/>
                <w:szCs w:val="28"/>
                <w14:textFill>
                  <w14:solidFill>
                    <w14:schemeClr w14:val="tx1"/>
                  </w14:solidFill>
                </w14:textFill>
              </w:rPr>
            </w:pPr>
            <w:r>
              <w:rPr>
                <w:rFonts w:eastAsia="黑体"/>
                <w:color w:val="000000" w:themeColor="text1"/>
                <w:sz w:val="24"/>
                <w14:textFill>
                  <w14:solidFill>
                    <w14:schemeClr w14:val="tx1"/>
                  </w14:solidFill>
                </w14:textFill>
              </w:rPr>
              <w:t>6.3</w:t>
            </w:r>
            <w:bookmarkStart w:id="14" w:name="OLE_LINK1"/>
            <w:r>
              <w:rPr>
                <w:rFonts w:eastAsia="黑体"/>
                <w:bCs/>
                <w:color w:val="000000" w:themeColor="text1"/>
                <w:sz w:val="24"/>
                <w:szCs w:val="28"/>
                <w14:textFill>
                  <w14:solidFill>
                    <w14:schemeClr w14:val="tx1"/>
                  </w14:solidFill>
                </w14:textFill>
              </w:rPr>
              <w:t>厂界噪声监测</w:t>
            </w:r>
          </w:p>
          <w:p>
            <w:pPr>
              <w:spacing w:line="360" w:lineRule="auto"/>
              <w:ind w:firstLine="483"/>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监测点位：项目</w:t>
            </w:r>
            <w:r>
              <w:rPr>
                <w:rFonts w:hint="eastAsia"/>
                <w:color w:val="000000" w:themeColor="text1"/>
                <w:sz w:val="24"/>
                <w14:textFill>
                  <w14:solidFill>
                    <w14:schemeClr w14:val="tx1"/>
                  </w14:solidFill>
                </w14:textFill>
              </w:rPr>
              <w:t>C4栋</w:t>
            </w:r>
            <w:r>
              <w:rPr>
                <w:color w:val="000000" w:themeColor="text1"/>
                <w:sz w:val="24"/>
                <w14:textFill>
                  <w14:solidFill>
                    <w14:schemeClr w14:val="tx1"/>
                  </w14:solidFill>
                </w14:textFill>
              </w:rPr>
              <w:t>东、南、西、北侧厂界分别设置4个监测点位（▲1#-▲4#）；布点情况详见附图</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监测项目：等效连续A声级。</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监测频次：昼、夜间各监测1次，</w:t>
            </w:r>
            <w:r>
              <w:rPr>
                <w:rFonts w:hint="eastAsia"/>
                <w:color w:val="000000" w:themeColor="text1"/>
                <w:sz w:val="24"/>
                <w14:textFill>
                  <w14:solidFill>
                    <w14:schemeClr w14:val="tx1"/>
                  </w14:solidFill>
                </w14:textFill>
              </w:rPr>
              <w:t>连续</w:t>
            </w:r>
            <w:r>
              <w:rPr>
                <w:color w:val="000000" w:themeColor="text1"/>
                <w:sz w:val="24"/>
                <w14:textFill>
                  <w14:solidFill>
                    <w14:schemeClr w14:val="tx1"/>
                  </w14:solidFill>
                </w14:textFill>
              </w:rPr>
              <w:t>监测2天。</w:t>
            </w:r>
          </w:p>
          <w:bookmarkEnd w:id="14"/>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详细监测点位情况见表6-1。</w:t>
            </w:r>
          </w:p>
          <w:p>
            <w:pPr>
              <w:spacing w:line="360" w:lineRule="auto"/>
              <w:ind w:firstLine="420" w:firstLineChars="200"/>
              <w:jc w:val="center"/>
              <w:rPr>
                <w:rFonts w:eastAsia="黑体"/>
                <w:color w:val="000000" w:themeColor="text1"/>
                <w:szCs w:val="18"/>
                <w14:textFill>
                  <w14:solidFill>
                    <w14:schemeClr w14:val="tx1"/>
                  </w14:solidFill>
                </w14:textFill>
              </w:rPr>
            </w:pPr>
            <w:r>
              <w:rPr>
                <w:rFonts w:eastAsia="黑体"/>
                <w:color w:val="000000" w:themeColor="text1"/>
                <w:szCs w:val="18"/>
                <w14:textFill>
                  <w14:solidFill>
                    <w14:schemeClr w14:val="tx1"/>
                  </w14:solidFill>
                </w14:textFill>
              </w:rPr>
              <w:t>表6-1本次验收监测内容一览表</w:t>
            </w:r>
          </w:p>
          <w:tbl>
            <w:tblPr>
              <w:tblStyle w:val="28"/>
              <w:tblW w:w="90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069"/>
              <w:gridCol w:w="1419"/>
              <w:gridCol w:w="2853"/>
              <w:gridCol w:w="19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57" w:type="dxa"/>
                  <w:tcBorders>
                    <w:top w:val="single" w:color="auto" w:sz="12" w:space="0"/>
                    <w:bottom w:val="single" w:color="auto" w:sz="12" w:space="0"/>
                    <w:tl2br w:val="nil"/>
                    <w:tr2bl w:val="nil"/>
                  </w:tcBorders>
                  <w:shd w:val="clear" w:color="auto" w:fill="auto"/>
                  <w:vAlign w:val="center"/>
                </w:tcPr>
                <w:p>
                  <w:pPr>
                    <w:widowControl/>
                    <w:ind w:left="-105" w:leftChars="-50" w:right="-105" w:rightChars="-50"/>
                    <w:jc w:val="center"/>
                    <w:rPr>
                      <w:b/>
                      <w:sz w:val="18"/>
                      <w:szCs w:val="18"/>
                    </w:rPr>
                  </w:pPr>
                  <w:r>
                    <w:rPr>
                      <w:b/>
                      <w:sz w:val="18"/>
                      <w:szCs w:val="18"/>
                    </w:rPr>
                    <w:t>类别</w:t>
                  </w:r>
                </w:p>
              </w:tc>
              <w:tc>
                <w:tcPr>
                  <w:tcW w:w="2069" w:type="dxa"/>
                  <w:tcBorders>
                    <w:top w:val="single" w:color="auto" w:sz="12" w:space="0"/>
                    <w:bottom w:val="single" w:color="auto" w:sz="12" w:space="0"/>
                    <w:tl2br w:val="nil"/>
                    <w:tr2bl w:val="nil"/>
                  </w:tcBorders>
                  <w:shd w:val="clear" w:color="auto" w:fill="auto"/>
                  <w:vAlign w:val="center"/>
                </w:tcPr>
                <w:p>
                  <w:pPr>
                    <w:widowControl/>
                    <w:ind w:left="-105" w:leftChars="-50" w:right="-105" w:rightChars="-50"/>
                    <w:jc w:val="center"/>
                    <w:rPr>
                      <w:b/>
                      <w:sz w:val="18"/>
                      <w:szCs w:val="18"/>
                    </w:rPr>
                  </w:pPr>
                  <w:r>
                    <w:rPr>
                      <w:b/>
                      <w:sz w:val="18"/>
                      <w:szCs w:val="18"/>
                    </w:rPr>
                    <w:t>点位名称</w:t>
                  </w:r>
                </w:p>
              </w:tc>
              <w:tc>
                <w:tcPr>
                  <w:tcW w:w="1419" w:type="dxa"/>
                  <w:tcBorders>
                    <w:top w:val="single" w:color="auto" w:sz="12" w:space="0"/>
                    <w:bottom w:val="single" w:color="auto" w:sz="12" w:space="0"/>
                    <w:tl2br w:val="nil"/>
                    <w:tr2bl w:val="nil"/>
                  </w:tcBorders>
                  <w:shd w:val="clear" w:color="auto" w:fill="auto"/>
                  <w:vAlign w:val="center"/>
                </w:tcPr>
                <w:p>
                  <w:pPr>
                    <w:widowControl/>
                    <w:ind w:left="-105" w:leftChars="-50" w:right="-105" w:rightChars="-50"/>
                    <w:jc w:val="center"/>
                    <w:rPr>
                      <w:b/>
                      <w:sz w:val="18"/>
                      <w:szCs w:val="18"/>
                    </w:rPr>
                  </w:pPr>
                  <w:r>
                    <w:rPr>
                      <w:b/>
                      <w:sz w:val="18"/>
                      <w:szCs w:val="18"/>
                    </w:rPr>
                    <w:t>点位编号</w:t>
                  </w:r>
                </w:p>
              </w:tc>
              <w:tc>
                <w:tcPr>
                  <w:tcW w:w="2853" w:type="dxa"/>
                  <w:tcBorders>
                    <w:top w:val="single" w:color="auto" w:sz="12" w:space="0"/>
                    <w:bottom w:val="single" w:color="auto" w:sz="12" w:space="0"/>
                    <w:tl2br w:val="nil"/>
                    <w:tr2bl w:val="nil"/>
                  </w:tcBorders>
                  <w:shd w:val="clear" w:color="auto" w:fill="auto"/>
                  <w:vAlign w:val="center"/>
                </w:tcPr>
                <w:p>
                  <w:pPr>
                    <w:widowControl/>
                    <w:ind w:left="-105" w:leftChars="-50" w:right="-105" w:rightChars="-50"/>
                    <w:jc w:val="center"/>
                    <w:rPr>
                      <w:b/>
                      <w:sz w:val="18"/>
                      <w:szCs w:val="18"/>
                    </w:rPr>
                  </w:pPr>
                  <w:r>
                    <w:rPr>
                      <w:b/>
                      <w:sz w:val="18"/>
                      <w:szCs w:val="18"/>
                    </w:rPr>
                    <w:t>监测项目</w:t>
                  </w:r>
                </w:p>
              </w:tc>
              <w:tc>
                <w:tcPr>
                  <w:tcW w:w="1972" w:type="dxa"/>
                  <w:tcBorders>
                    <w:top w:val="single" w:color="auto" w:sz="12" w:space="0"/>
                    <w:bottom w:val="single" w:color="auto" w:sz="12" w:space="0"/>
                    <w:tl2br w:val="nil"/>
                    <w:tr2bl w:val="nil"/>
                  </w:tcBorders>
                  <w:shd w:val="clear" w:color="auto" w:fill="auto"/>
                  <w:vAlign w:val="center"/>
                </w:tcPr>
                <w:p>
                  <w:pPr>
                    <w:widowControl/>
                    <w:ind w:left="-105" w:leftChars="-50" w:right="-105" w:rightChars="-50"/>
                    <w:jc w:val="center"/>
                    <w:rPr>
                      <w:b/>
                      <w:sz w:val="18"/>
                      <w:szCs w:val="18"/>
                    </w:rPr>
                  </w:pPr>
                  <w:r>
                    <w:rPr>
                      <w:b/>
                      <w:sz w:val="18"/>
                      <w:szCs w:val="18"/>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top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有组织</w:t>
                  </w:r>
                </w:p>
                <w:p>
                  <w:pPr>
                    <w:widowControl/>
                    <w:ind w:left="-105" w:leftChars="-50" w:right="-105" w:rightChars="-50"/>
                    <w:jc w:val="center"/>
                    <w:rPr>
                      <w:sz w:val="18"/>
                      <w:szCs w:val="18"/>
                    </w:rPr>
                  </w:pPr>
                  <w:r>
                    <w:rPr>
                      <w:sz w:val="18"/>
                      <w:szCs w:val="18"/>
                    </w:rPr>
                    <w:t>废气</w:t>
                  </w:r>
                </w:p>
              </w:tc>
              <w:tc>
                <w:tcPr>
                  <w:tcW w:w="2069" w:type="dxa"/>
                  <w:tcBorders>
                    <w:top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实验室废气排气筒1#</w:t>
                  </w:r>
                </w:p>
              </w:tc>
              <w:tc>
                <w:tcPr>
                  <w:tcW w:w="1419" w:type="dxa"/>
                  <w:tcBorders>
                    <w:top w:val="single" w:color="auto" w:sz="12" w:space="0"/>
                    <w:tl2br w:val="nil"/>
                    <w:tr2bl w:val="nil"/>
                  </w:tcBorders>
                  <w:shd w:val="clear" w:color="auto" w:fill="auto"/>
                  <w:vAlign w:val="center"/>
                </w:tcPr>
                <w:p>
                  <w:pPr>
                    <w:widowControl/>
                    <w:ind w:left="-105" w:leftChars="-50" w:right="-105" w:rightChars="-50"/>
                    <w:jc w:val="center"/>
                    <w:rPr>
                      <w:sz w:val="18"/>
                      <w:szCs w:val="18"/>
                    </w:rPr>
                  </w:pPr>
                  <w:r>
                    <w:rPr>
                      <w:rFonts w:eastAsiaTheme="minorEastAsia"/>
                      <w:szCs w:val="21"/>
                    </w:rPr>
                    <w:t>◎</w:t>
                  </w:r>
                  <w:r>
                    <w:rPr>
                      <w:sz w:val="18"/>
                      <w:szCs w:val="18"/>
                    </w:rPr>
                    <w:t>1#</w:t>
                  </w:r>
                </w:p>
              </w:tc>
              <w:tc>
                <w:tcPr>
                  <w:tcW w:w="2853" w:type="dxa"/>
                  <w:tcBorders>
                    <w:top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甲醇</w:t>
                  </w:r>
                  <w:r>
                    <w:rPr>
                      <w:rFonts w:hint="eastAsia"/>
                      <w:color w:val="FF0000"/>
                      <w:sz w:val="18"/>
                      <w:szCs w:val="18"/>
                    </w:rPr>
                    <w:t>*</w:t>
                  </w:r>
                  <w:r>
                    <w:rPr>
                      <w:sz w:val="18"/>
                      <w:szCs w:val="18"/>
                    </w:rPr>
                    <w:t>、烟气参数</w:t>
                  </w:r>
                </w:p>
              </w:tc>
              <w:tc>
                <w:tcPr>
                  <w:tcW w:w="1972" w:type="dxa"/>
                  <w:tcBorders>
                    <w:top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3次/点/天×2天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restart"/>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废水</w:t>
                  </w:r>
                </w:p>
              </w:tc>
              <w:tc>
                <w:tcPr>
                  <w:tcW w:w="2069" w:type="dxa"/>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项目废水排放口1#</w:t>
                  </w:r>
                </w:p>
              </w:tc>
              <w:tc>
                <w:tcPr>
                  <w:tcW w:w="1419" w:type="dxa"/>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★1#</w:t>
                  </w:r>
                </w:p>
              </w:tc>
              <w:tc>
                <w:tcPr>
                  <w:tcW w:w="2853" w:type="dxa"/>
                  <w:vMerge w:val="restart"/>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pH值、化学需氧量、五日生化需氧量、氨氮、悬浮物</w:t>
                  </w:r>
                </w:p>
              </w:tc>
              <w:tc>
                <w:tcPr>
                  <w:tcW w:w="1972" w:type="dxa"/>
                  <w:vMerge w:val="restart"/>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4次/天/点×2天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vMerge w:val="continue"/>
                  <w:tcBorders>
                    <w:tl2br w:val="nil"/>
                    <w:tr2bl w:val="nil"/>
                  </w:tcBorders>
                  <w:shd w:val="clear" w:color="auto" w:fill="auto"/>
                  <w:vAlign w:val="center"/>
                </w:tcPr>
                <w:p>
                  <w:pPr>
                    <w:widowControl/>
                    <w:ind w:left="-105" w:leftChars="-50" w:right="-105" w:rightChars="-50"/>
                    <w:jc w:val="center"/>
                    <w:rPr>
                      <w:sz w:val="18"/>
                      <w:szCs w:val="18"/>
                    </w:rPr>
                  </w:pPr>
                </w:p>
              </w:tc>
              <w:tc>
                <w:tcPr>
                  <w:tcW w:w="2069" w:type="dxa"/>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园区污水总排口2#</w:t>
                  </w:r>
                </w:p>
              </w:tc>
              <w:tc>
                <w:tcPr>
                  <w:tcW w:w="1419" w:type="dxa"/>
                  <w:tcBorders>
                    <w:tl2br w:val="nil"/>
                    <w:tr2bl w:val="nil"/>
                  </w:tcBorders>
                  <w:shd w:val="clear" w:color="auto" w:fill="auto"/>
                  <w:vAlign w:val="center"/>
                </w:tcPr>
                <w:p>
                  <w:pPr>
                    <w:widowControl/>
                    <w:ind w:left="-105" w:leftChars="-50" w:right="-105" w:rightChars="-50"/>
                    <w:jc w:val="center"/>
                    <w:rPr>
                      <w:sz w:val="18"/>
                      <w:szCs w:val="18"/>
                    </w:rPr>
                  </w:pPr>
                  <w:r>
                    <w:rPr>
                      <w:sz w:val="18"/>
                      <w:szCs w:val="18"/>
                    </w:rPr>
                    <w:t>★2#</w:t>
                  </w:r>
                </w:p>
              </w:tc>
              <w:tc>
                <w:tcPr>
                  <w:tcW w:w="2853" w:type="dxa"/>
                  <w:vMerge w:val="continue"/>
                  <w:tcBorders>
                    <w:tl2br w:val="nil"/>
                    <w:tr2bl w:val="nil"/>
                  </w:tcBorders>
                  <w:shd w:val="clear" w:color="auto" w:fill="auto"/>
                  <w:vAlign w:val="center"/>
                </w:tcPr>
                <w:p>
                  <w:pPr>
                    <w:widowControl/>
                    <w:ind w:left="-105" w:leftChars="-50" w:right="-105" w:rightChars="-50"/>
                    <w:jc w:val="center"/>
                    <w:rPr>
                      <w:sz w:val="18"/>
                      <w:szCs w:val="18"/>
                    </w:rPr>
                  </w:pPr>
                </w:p>
              </w:tc>
              <w:tc>
                <w:tcPr>
                  <w:tcW w:w="1972" w:type="dxa"/>
                  <w:vMerge w:val="continue"/>
                  <w:tcBorders>
                    <w:tl2br w:val="nil"/>
                    <w:tr2bl w:val="nil"/>
                  </w:tcBorders>
                  <w:shd w:val="clear" w:color="auto" w:fill="auto"/>
                  <w:vAlign w:val="center"/>
                </w:tcPr>
                <w:p>
                  <w:pPr>
                    <w:widowControl/>
                    <w:ind w:left="-105" w:leftChars="-50" w:right="-105" w:rightChars="-50"/>
                    <w:jc w:val="center"/>
                    <w:rPr>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7" w:type="dxa"/>
                  <w:tcBorders>
                    <w:bottom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噪声</w:t>
                  </w:r>
                </w:p>
              </w:tc>
              <w:tc>
                <w:tcPr>
                  <w:tcW w:w="2069" w:type="dxa"/>
                  <w:tcBorders>
                    <w:bottom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厂界四周</w:t>
                  </w:r>
                </w:p>
              </w:tc>
              <w:tc>
                <w:tcPr>
                  <w:tcW w:w="1419" w:type="dxa"/>
                  <w:tcBorders>
                    <w:bottom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▲1#~▲4#</w:t>
                  </w:r>
                </w:p>
              </w:tc>
              <w:tc>
                <w:tcPr>
                  <w:tcW w:w="2853" w:type="dxa"/>
                  <w:tcBorders>
                    <w:bottom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等效连续A声级</w:t>
                  </w:r>
                </w:p>
              </w:tc>
              <w:tc>
                <w:tcPr>
                  <w:tcW w:w="1972" w:type="dxa"/>
                  <w:tcBorders>
                    <w:bottom w:val="single" w:color="auto" w:sz="12" w:space="0"/>
                    <w:tl2br w:val="nil"/>
                    <w:tr2bl w:val="nil"/>
                  </w:tcBorders>
                  <w:shd w:val="clear" w:color="auto" w:fill="auto"/>
                  <w:vAlign w:val="center"/>
                </w:tcPr>
                <w:p>
                  <w:pPr>
                    <w:widowControl/>
                    <w:ind w:left="-105" w:leftChars="-50" w:right="-105" w:rightChars="-50"/>
                    <w:jc w:val="center"/>
                    <w:rPr>
                      <w:sz w:val="18"/>
                      <w:szCs w:val="18"/>
                    </w:rPr>
                  </w:pPr>
                  <w:r>
                    <w:rPr>
                      <w:sz w:val="18"/>
                      <w:szCs w:val="18"/>
                    </w:rPr>
                    <w:t>昼间夜间各监测</w:t>
                  </w:r>
                  <w:r>
                    <w:rPr>
                      <w:rFonts w:hint="eastAsia"/>
                      <w:sz w:val="18"/>
                      <w:szCs w:val="18"/>
                      <w:lang w:val="en-US" w:eastAsia="zh-CN"/>
                    </w:rPr>
                    <w:t>1</w:t>
                  </w:r>
                  <w:r>
                    <w:rPr>
                      <w:sz w:val="18"/>
                      <w:szCs w:val="18"/>
                    </w:rPr>
                    <w:t>次，监测2天</w:t>
                  </w:r>
                </w:p>
              </w:tc>
            </w:tr>
          </w:tbl>
          <w:p>
            <w:pPr>
              <w:rPr>
                <w:rFonts w:eastAsiaTheme="minorEastAsia"/>
                <w:color w:val="000000"/>
                <w:sz w:val="18"/>
              </w:rPr>
            </w:pPr>
            <w:r>
              <w:rPr>
                <w:rFonts w:eastAsiaTheme="minorEastAsia"/>
                <w:color w:val="000000"/>
                <w:sz w:val="18"/>
              </w:rPr>
              <w:t>注：根据环评报告工程分析章节，本项目挥发性有机物来源于检测实验，根据项目原辅料使用情况实验室使用的挥发性有机物的试剂主要为甲醇、乙醇，由于乙醇暂无监测分析方法，因此本次选取甲醇作为污染物</w:t>
            </w:r>
            <w:r>
              <w:rPr>
                <w:rFonts w:hint="eastAsia" w:eastAsiaTheme="minorEastAsia"/>
                <w:color w:val="000000"/>
                <w:sz w:val="18"/>
              </w:rPr>
              <w:t>监测</w:t>
            </w:r>
            <w:r>
              <w:rPr>
                <w:rFonts w:eastAsiaTheme="minorEastAsia"/>
                <w:color w:val="000000"/>
                <w:sz w:val="18"/>
              </w:rPr>
              <w:t>因子。</w:t>
            </w:r>
          </w:p>
          <w:p>
            <w:pPr>
              <w:spacing w:line="360" w:lineRule="auto"/>
              <w:rPr>
                <w:color w:val="000000" w:themeColor="text1"/>
                <w:sz w:val="24"/>
                <w:highlight w:val="yellow"/>
                <w14:textFill>
                  <w14:solidFill>
                    <w14:schemeClr w14:val="tx1"/>
                  </w14:solidFill>
                </w14:textFill>
              </w:rPr>
            </w:pPr>
          </w:p>
        </w:tc>
      </w:tr>
    </w:tbl>
    <w:p>
      <w:pPr>
        <w:pStyle w:val="5"/>
        <w:rPr>
          <w:rFonts w:ascii="Times New Roman" w:hAnsi="Times New Roman"/>
          <w:color w:val="000000" w:themeColor="text1"/>
          <w14:textFill>
            <w14:solidFill>
              <w14:schemeClr w14:val="tx1"/>
            </w14:solidFill>
          </w14:textFill>
        </w:rPr>
      </w:pPr>
      <w:bookmarkStart w:id="15" w:name="_Toc525552352"/>
      <w:r>
        <w:rPr>
          <w:rFonts w:ascii="Times New Roman" w:hAnsi="Times New Roman"/>
          <w:color w:val="000000" w:themeColor="text1"/>
          <w14:textFill>
            <w14:solidFill>
              <w14:schemeClr w14:val="tx1"/>
            </w14:solidFill>
          </w14:textFill>
        </w:rPr>
        <w:t>表七  验收监测结果</w:t>
      </w:r>
      <w:bookmarkEnd w:id="15"/>
    </w:p>
    <w:tbl>
      <w:tblPr>
        <w:tblStyle w:val="28"/>
        <w:tblW w:w="928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303" w:hRule="atLeast"/>
        </w:trPr>
        <w:tc>
          <w:tcPr>
            <w:tcW w:w="9286" w:type="dxa"/>
          </w:tcPr>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7.1生产工况分析</w:t>
            </w:r>
          </w:p>
          <w:p>
            <w:pPr>
              <w:pStyle w:val="23"/>
              <w:spacing w:after="0" w:line="360" w:lineRule="auto"/>
              <w:ind w:firstLine="480" w:firstLineChars="200"/>
              <w:rPr>
                <w:color w:val="000000" w:themeColor="text1"/>
                <w:sz w:val="24"/>
                <w14:textFill>
                  <w14:solidFill>
                    <w14:schemeClr w14:val="tx1"/>
                  </w14:solidFill>
                </w14:textFill>
              </w:rPr>
            </w:pPr>
            <w:bookmarkStart w:id="16" w:name="_Toc48468076"/>
            <w:bookmarkStart w:id="17" w:name="_Toc71787381"/>
            <w:r>
              <w:rPr>
                <w:color w:val="000000" w:themeColor="text1"/>
                <w:sz w:val="24"/>
                <w14:textFill>
                  <w14:solidFill>
                    <w14:schemeClr w14:val="tx1"/>
                  </w14:solidFill>
                </w14:textFill>
              </w:rPr>
              <w:t>目前该项目主体工程已完成建设，实验设备和空调机组均已安装完毕，</w:t>
            </w:r>
            <w:r>
              <w:rPr>
                <w:rFonts w:hint="eastAsia"/>
                <w:color w:val="000000" w:themeColor="text1"/>
                <w:sz w:val="24"/>
                <w14:textFill>
                  <w14:solidFill>
                    <w14:schemeClr w14:val="tx1"/>
                  </w14:solidFill>
                </w14:textFill>
              </w:rPr>
              <w:t>实验室</w:t>
            </w:r>
            <w:r>
              <w:rPr>
                <w:color w:val="000000" w:themeColor="text1"/>
                <w:sz w:val="24"/>
                <w14:textFill>
                  <w14:solidFill>
                    <w14:schemeClr w14:val="tx1"/>
                  </w14:solidFill>
                </w14:textFill>
              </w:rPr>
              <w:t>已投入使用。本次验收以有组织废气、废水、噪声监测为主要监测内容，</w:t>
            </w:r>
            <w:r>
              <w:rPr>
                <w:rFonts w:hint="eastAsia"/>
                <w:color w:val="000000" w:themeColor="text1"/>
                <w:sz w:val="24"/>
                <w14:textFill>
                  <w14:solidFill>
                    <w14:schemeClr w14:val="tx1"/>
                  </w14:solidFill>
                </w14:textFill>
              </w:rPr>
              <w:t>监测期间工况说明见附件10，</w:t>
            </w:r>
            <w:r>
              <w:rPr>
                <w:color w:val="000000" w:themeColor="text1"/>
                <w:sz w:val="24"/>
                <w14:textFill>
                  <w14:solidFill>
                    <w14:schemeClr w14:val="tx1"/>
                  </w14:solidFill>
                </w14:textFill>
              </w:rPr>
              <w:t>检测报告见附件</w:t>
            </w:r>
            <w:r>
              <w:rPr>
                <w:rFonts w:hint="eastAsia"/>
                <w:color w:val="000000" w:themeColor="text1"/>
                <w:sz w:val="24"/>
                <w14:textFill>
                  <w14:solidFill>
                    <w14:schemeClr w14:val="tx1"/>
                  </w14:solidFill>
                </w14:textFill>
              </w:rPr>
              <w:t>11</w:t>
            </w:r>
            <w:r>
              <w:rPr>
                <w:color w:val="000000" w:themeColor="text1"/>
                <w:sz w:val="24"/>
                <w14:textFill>
                  <w14:solidFill>
                    <w14:schemeClr w14:val="tx1"/>
                  </w14:solidFill>
                </w14:textFill>
              </w:rPr>
              <w:t>。</w:t>
            </w:r>
          </w:p>
          <w:bookmarkEnd w:id="16"/>
          <w:bookmarkEnd w:id="17"/>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7.2验收监测结果及分析</w:t>
            </w:r>
          </w:p>
          <w:p>
            <w:pPr>
              <w:pStyle w:val="23"/>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7.2.1废气监测结果及分析</w:t>
            </w:r>
          </w:p>
          <w:p>
            <w:pPr>
              <w:pStyle w:val="23"/>
              <w:numPr>
                <w:ilvl w:val="0"/>
                <w:numId w:val="4"/>
              </w:numPr>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有组织废气</w:t>
            </w:r>
          </w:p>
          <w:p>
            <w:pPr>
              <w:pStyle w:val="23"/>
              <w:spacing w:after="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废气监测结果统计见表7-1。</w:t>
            </w:r>
          </w:p>
          <w:p>
            <w:pPr>
              <w:pStyle w:val="23"/>
              <w:spacing w:after="0" w:line="360" w:lineRule="auto"/>
              <w:ind w:firstLine="420" w:firstLineChars="200"/>
              <w:jc w:val="center"/>
              <w:rPr>
                <w:color w:val="000000" w:themeColor="text1"/>
                <w:sz w:val="24"/>
                <w14:textFill>
                  <w14:solidFill>
                    <w14:schemeClr w14:val="tx1"/>
                  </w14:solidFill>
                </w14:textFill>
              </w:rPr>
            </w:pPr>
            <w:r>
              <w:rPr>
                <w:rFonts w:eastAsia="黑体"/>
                <w:bCs/>
                <w:color w:val="000000" w:themeColor="text1"/>
                <w:szCs w:val="21"/>
                <w14:textFill>
                  <w14:solidFill>
                    <w14:schemeClr w14:val="tx1"/>
                  </w14:solidFill>
                </w14:textFill>
              </w:rPr>
              <w:t>表7-1项目</w:t>
            </w:r>
            <w:r>
              <w:rPr>
                <w:rFonts w:hint="eastAsia" w:eastAsia="黑体"/>
                <w:bCs/>
                <w:color w:val="000000" w:themeColor="text1"/>
                <w:szCs w:val="21"/>
                <w14:textFill>
                  <w14:solidFill>
                    <w14:schemeClr w14:val="tx1"/>
                  </w14:solidFill>
                </w14:textFill>
              </w:rPr>
              <w:t>实验室</w:t>
            </w:r>
            <w:r>
              <w:rPr>
                <w:rFonts w:eastAsia="黑体"/>
                <w:bCs/>
                <w:color w:val="000000" w:themeColor="text1"/>
                <w:szCs w:val="21"/>
                <w14:textFill>
                  <w14:solidFill>
                    <w14:schemeClr w14:val="tx1"/>
                  </w14:solidFill>
                </w14:textFill>
              </w:rPr>
              <w:t>废气监测结果</w:t>
            </w:r>
          </w:p>
          <w:tbl>
            <w:tblPr>
              <w:tblStyle w:val="29"/>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928"/>
              <w:gridCol w:w="830"/>
              <w:gridCol w:w="588"/>
              <w:gridCol w:w="845"/>
              <w:gridCol w:w="968"/>
              <w:gridCol w:w="914"/>
              <w:gridCol w:w="968"/>
              <w:gridCol w:w="1021"/>
              <w:gridCol w:w="611"/>
              <w:gridCol w:w="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0" w:type="dxa"/>
                  <w:vMerge w:val="restart"/>
                  <w:shd w:val="clear" w:color="auto" w:fill="auto"/>
                  <w:vAlign w:val="center"/>
                </w:tcPr>
                <w:p>
                  <w:pPr>
                    <w:ind w:left="-42" w:leftChars="-20" w:right="-42" w:rightChars="-20"/>
                    <w:jc w:val="center"/>
                    <w:rPr>
                      <w:b/>
                      <w:bCs/>
                      <w:sz w:val="18"/>
                      <w:szCs w:val="18"/>
                    </w:rPr>
                  </w:pPr>
                  <w:r>
                    <w:rPr>
                      <w:rFonts w:hint="eastAsia"/>
                      <w:b/>
                      <w:bCs/>
                      <w:sz w:val="18"/>
                      <w:szCs w:val="18"/>
                    </w:rPr>
                    <w:t>检测</w:t>
                  </w:r>
                </w:p>
                <w:p>
                  <w:pPr>
                    <w:ind w:left="-42" w:leftChars="-20" w:right="-42" w:rightChars="-20"/>
                    <w:jc w:val="center"/>
                    <w:rPr>
                      <w:b/>
                      <w:bCs/>
                      <w:sz w:val="18"/>
                      <w:szCs w:val="18"/>
                    </w:rPr>
                  </w:pPr>
                  <w:r>
                    <w:rPr>
                      <w:rFonts w:hint="eastAsia"/>
                      <w:b/>
                      <w:bCs/>
                      <w:sz w:val="18"/>
                      <w:szCs w:val="18"/>
                    </w:rPr>
                    <w:t>点位</w:t>
                  </w:r>
                </w:p>
              </w:tc>
              <w:tc>
                <w:tcPr>
                  <w:tcW w:w="928" w:type="dxa"/>
                  <w:vMerge w:val="restart"/>
                  <w:shd w:val="clear" w:color="auto" w:fill="auto"/>
                  <w:vAlign w:val="center"/>
                </w:tcPr>
                <w:p>
                  <w:pPr>
                    <w:ind w:left="-42" w:leftChars="-20" w:right="-42" w:rightChars="-20"/>
                    <w:jc w:val="center"/>
                    <w:rPr>
                      <w:b/>
                      <w:bCs/>
                      <w:sz w:val="18"/>
                      <w:szCs w:val="18"/>
                    </w:rPr>
                  </w:pPr>
                  <w:r>
                    <w:rPr>
                      <w:rFonts w:hint="eastAsia"/>
                      <w:b/>
                      <w:bCs/>
                      <w:sz w:val="18"/>
                      <w:szCs w:val="18"/>
                    </w:rPr>
                    <w:t>监测</w:t>
                  </w:r>
                </w:p>
                <w:p>
                  <w:pPr>
                    <w:ind w:left="-42" w:leftChars="-20" w:right="-42" w:rightChars="-20"/>
                    <w:jc w:val="center"/>
                    <w:rPr>
                      <w:b/>
                      <w:bCs/>
                      <w:sz w:val="18"/>
                      <w:szCs w:val="18"/>
                    </w:rPr>
                  </w:pPr>
                  <w:r>
                    <w:rPr>
                      <w:rFonts w:hint="eastAsia"/>
                      <w:b/>
                      <w:bCs/>
                      <w:sz w:val="18"/>
                      <w:szCs w:val="18"/>
                    </w:rPr>
                    <w:t>时间</w:t>
                  </w:r>
                </w:p>
              </w:tc>
              <w:tc>
                <w:tcPr>
                  <w:tcW w:w="1418" w:type="dxa"/>
                  <w:gridSpan w:val="2"/>
                  <w:vMerge w:val="restart"/>
                  <w:shd w:val="clear" w:color="auto" w:fill="auto"/>
                  <w:vAlign w:val="center"/>
                </w:tcPr>
                <w:p>
                  <w:pPr>
                    <w:ind w:left="-42" w:leftChars="-20" w:right="-42" w:rightChars="-20"/>
                    <w:jc w:val="center"/>
                    <w:rPr>
                      <w:b/>
                      <w:bCs/>
                      <w:sz w:val="18"/>
                      <w:szCs w:val="18"/>
                    </w:rPr>
                  </w:pPr>
                  <w:r>
                    <w:rPr>
                      <w:rFonts w:hint="eastAsia"/>
                      <w:b/>
                      <w:bCs/>
                      <w:sz w:val="18"/>
                      <w:szCs w:val="18"/>
                    </w:rPr>
                    <w:t>检测项目</w:t>
                  </w:r>
                </w:p>
              </w:tc>
              <w:tc>
                <w:tcPr>
                  <w:tcW w:w="845" w:type="dxa"/>
                  <w:vMerge w:val="restart"/>
                  <w:shd w:val="clear" w:color="auto" w:fill="auto"/>
                  <w:vAlign w:val="center"/>
                </w:tcPr>
                <w:p>
                  <w:pPr>
                    <w:ind w:left="-42" w:leftChars="-20" w:right="-42" w:rightChars="-20"/>
                    <w:jc w:val="center"/>
                    <w:rPr>
                      <w:b/>
                      <w:bCs/>
                      <w:sz w:val="18"/>
                      <w:szCs w:val="18"/>
                    </w:rPr>
                  </w:pPr>
                  <w:r>
                    <w:rPr>
                      <w:rFonts w:hint="eastAsia"/>
                      <w:b/>
                      <w:bCs/>
                      <w:sz w:val="18"/>
                      <w:szCs w:val="18"/>
                    </w:rPr>
                    <w:t>单位</w:t>
                  </w:r>
                </w:p>
              </w:tc>
              <w:tc>
                <w:tcPr>
                  <w:tcW w:w="2850" w:type="dxa"/>
                  <w:gridSpan w:val="3"/>
                  <w:shd w:val="clear" w:color="auto" w:fill="auto"/>
                  <w:vAlign w:val="center"/>
                </w:tcPr>
                <w:p>
                  <w:pPr>
                    <w:ind w:left="-42" w:leftChars="-20" w:right="-42" w:rightChars="-20"/>
                    <w:jc w:val="center"/>
                    <w:rPr>
                      <w:b/>
                      <w:bCs/>
                      <w:sz w:val="18"/>
                      <w:szCs w:val="18"/>
                    </w:rPr>
                  </w:pPr>
                  <w:r>
                    <w:rPr>
                      <w:rFonts w:hint="eastAsia"/>
                      <w:b/>
                      <w:bCs/>
                      <w:sz w:val="18"/>
                      <w:szCs w:val="18"/>
                    </w:rPr>
                    <w:t>检测结果</w:t>
                  </w:r>
                </w:p>
              </w:tc>
              <w:tc>
                <w:tcPr>
                  <w:tcW w:w="1021" w:type="dxa"/>
                  <w:vMerge w:val="restart"/>
                  <w:vAlign w:val="center"/>
                </w:tcPr>
                <w:p>
                  <w:pPr>
                    <w:ind w:left="-42" w:leftChars="-20" w:right="-42" w:rightChars="-20"/>
                    <w:jc w:val="center"/>
                    <w:rPr>
                      <w:b/>
                      <w:bCs/>
                      <w:sz w:val="18"/>
                      <w:szCs w:val="18"/>
                    </w:rPr>
                  </w:pPr>
                  <w:r>
                    <w:rPr>
                      <w:rFonts w:hint="eastAsia"/>
                      <w:b/>
                      <w:bCs/>
                      <w:sz w:val="18"/>
                      <w:szCs w:val="18"/>
                    </w:rPr>
                    <w:t>最大值</w:t>
                  </w:r>
                </w:p>
              </w:tc>
              <w:tc>
                <w:tcPr>
                  <w:tcW w:w="611" w:type="dxa"/>
                  <w:vMerge w:val="restart"/>
                  <w:vAlign w:val="center"/>
                </w:tcPr>
                <w:p>
                  <w:pPr>
                    <w:ind w:left="-42" w:leftChars="-20" w:right="-42" w:rightChars="-20"/>
                    <w:jc w:val="center"/>
                    <w:rPr>
                      <w:b/>
                      <w:bCs/>
                      <w:sz w:val="18"/>
                      <w:szCs w:val="18"/>
                    </w:rPr>
                  </w:pPr>
                  <w:r>
                    <w:rPr>
                      <w:rFonts w:hint="eastAsia"/>
                      <w:b/>
                      <w:bCs/>
                      <w:sz w:val="18"/>
                      <w:szCs w:val="18"/>
                    </w:rPr>
                    <w:t>标准限值</w:t>
                  </w:r>
                </w:p>
              </w:tc>
              <w:tc>
                <w:tcPr>
                  <w:tcW w:w="708" w:type="dxa"/>
                  <w:vMerge w:val="restart"/>
                  <w:vAlign w:val="center"/>
                </w:tcPr>
                <w:p>
                  <w:pPr>
                    <w:ind w:left="-42" w:leftChars="-20" w:right="-42" w:rightChars="-20"/>
                    <w:jc w:val="center"/>
                    <w:rPr>
                      <w:b/>
                      <w:bCs/>
                      <w:sz w:val="18"/>
                      <w:szCs w:val="18"/>
                    </w:rPr>
                  </w:pPr>
                  <w:r>
                    <w:rPr>
                      <w:rFonts w:hint="eastAsia"/>
                      <w:b/>
                      <w:bCs/>
                      <w:sz w:val="18"/>
                      <w:szCs w:val="18"/>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690" w:type="dxa"/>
                  <w:vMerge w:val="continue"/>
                  <w:tcBorders>
                    <w:bottom w:val="single" w:color="auto" w:sz="12" w:space="0"/>
                  </w:tcBorders>
                  <w:shd w:val="clear" w:color="auto" w:fill="auto"/>
                  <w:vAlign w:val="center"/>
                </w:tcPr>
                <w:p>
                  <w:pPr>
                    <w:ind w:left="-42" w:leftChars="-20" w:right="-42" w:rightChars="-20"/>
                    <w:jc w:val="center"/>
                    <w:rPr>
                      <w:sz w:val="18"/>
                      <w:szCs w:val="18"/>
                    </w:rPr>
                  </w:pPr>
                </w:p>
              </w:tc>
              <w:tc>
                <w:tcPr>
                  <w:tcW w:w="928" w:type="dxa"/>
                  <w:vMerge w:val="continue"/>
                  <w:tcBorders>
                    <w:bottom w:val="single" w:color="auto" w:sz="12" w:space="0"/>
                  </w:tcBorders>
                  <w:shd w:val="clear" w:color="auto" w:fill="auto"/>
                  <w:vAlign w:val="center"/>
                </w:tcPr>
                <w:p>
                  <w:pPr>
                    <w:ind w:left="-42" w:leftChars="-20" w:right="-42" w:rightChars="-20"/>
                    <w:jc w:val="center"/>
                    <w:rPr>
                      <w:sz w:val="18"/>
                      <w:szCs w:val="18"/>
                    </w:rPr>
                  </w:pPr>
                </w:p>
              </w:tc>
              <w:tc>
                <w:tcPr>
                  <w:tcW w:w="1418" w:type="dxa"/>
                  <w:gridSpan w:val="2"/>
                  <w:vMerge w:val="continue"/>
                  <w:tcBorders>
                    <w:bottom w:val="single" w:color="auto" w:sz="12" w:space="0"/>
                  </w:tcBorders>
                  <w:shd w:val="clear" w:color="auto" w:fill="auto"/>
                  <w:vAlign w:val="center"/>
                </w:tcPr>
                <w:p>
                  <w:pPr>
                    <w:ind w:left="-42" w:leftChars="-20" w:right="-42" w:rightChars="-20"/>
                    <w:jc w:val="center"/>
                    <w:rPr>
                      <w:sz w:val="18"/>
                      <w:szCs w:val="18"/>
                    </w:rPr>
                  </w:pPr>
                </w:p>
              </w:tc>
              <w:tc>
                <w:tcPr>
                  <w:tcW w:w="845" w:type="dxa"/>
                  <w:vMerge w:val="continue"/>
                  <w:tcBorders>
                    <w:bottom w:val="single" w:color="auto" w:sz="12" w:space="0"/>
                  </w:tcBorders>
                  <w:shd w:val="clear" w:color="auto" w:fill="auto"/>
                  <w:vAlign w:val="center"/>
                </w:tcPr>
                <w:p>
                  <w:pPr>
                    <w:ind w:left="-42" w:leftChars="-20" w:right="-42" w:rightChars="-20"/>
                    <w:jc w:val="center"/>
                    <w:rPr>
                      <w:sz w:val="18"/>
                      <w:szCs w:val="18"/>
                    </w:rPr>
                  </w:pPr>
                </w:p>
              </w:tc>
              <w:tc>
                <w:tcPr>
                  <w:tcW w:w="968" w:type="dxa"/>
                  <w:tcBorders>
                    <w:bottom w:val="single" w:color="auto" w:sz="12" w:space="0"/>
                  </w:tcBorders>
                  <w:shd w:val="clear" w:color="auto" w:fill="auto"/>
                  <w:vAlign w:val="center"/>
                </w:tcPr>
                <w:p>
                  <w:pPr>
                    <w:ind w:left="-42" w:leftChars="-20" w:right="-42" w:rightChars="-20"/>
                    <w:jc w:val="center"/>
                    <w:rPr>
                      <w:b/>
                      <w:bCs/>
                      <w:sz w:val="18"/>
                      <w:szCs w:val="18"/>
                    </w:rPr>
                  </w:pPr>
                  <w:r>
                    <w:rPr>
                      <w:rFonts w:hint="eastAsia"/>
                      <w:b/>
                      <w:bCs/>
                      <w:sz w:val="18"/>
                      <w:szCs w:val="18"/>
                    </w:rPr>
                    <w:t>第1次</w:t>
                  </w:r>
                </w:p>
              </w:tc>
              <w:tc>
                <w:tcPr>
                  <w:tcW w:w="914" w:type="dxa"/>
                  <w:tcBorders>
                    <w:bottom w:val="single" w:color="auto" w:sz="12" w:space="0"/>
                  </w:tcBorders>
                  <w:shd w:val="clear" w:color="auto" w:fill="auto"/>
                  <w:vAlign w:val="center"/>
                </w:tcPr>
                <w:p>
                  <w:pPr>
                    <w:ind w:left="-42" w:leftChars="-20" w:right="-42" w:rightChars="-20"/>
                    <w:jc w:val="center"/>
                    <w:rPr>
                      <w:b/>
                      <w:bCs/>
                      <w:sz w:val="18"/>
                      <w:szCs w:val="18"/>
                    </w:rPr>
                  </w:pPr>
                  <w:r>
                    <w:rPr>
                      <w:rFonts w:hint="eastAsia"/>
                      <w:b/>
                      <w:bCs/>
                      <w:sz w:val="18"/>
                      <w:szCs w:val="18"/>
                    </w:rPr>
                    <w:t>第2次</w:t>
                  </w:r>
                </w:p>
              </w:tc>
              <w:tc>
                <w:tcPr>
                  <w:tcW w:w="968" w:type="dxa"/>
                  <w:tcBorders>
                    <w:bottom w:val="single" w:color="auto" w:sz="12" w:space="0"/>
                  </w:tcBorders>
                  <w:shd w:val="clear" w:color="auto" w:fill="auto"/>
                  <w:vAlign w:val="center"/>
                </w:tcPr>
                <w:p>
                  <w:pPr>
                    <w:ind w:left="-42" w:leftChars="-20" w:right="-42" w:rightChars="-20"/>
                    <w:jc w:val="center"/>
                    <w:rPr>
                      <w:b/>
                      <w:bCs/>
                      <w:sz w:val="18"/>
                      <w:szCs w:val="18"/>
                    </w:rPr>
                  </w:pPr>
                  <w:r>
                    <w:rPr>
                      <w:rFonts w:hint="eastAsia"/>
                      <w:b/>
                      <w:bCs/>
                      <w:sz w:val="18"/>
                      <w:szCs w:val="18"/>
                    </w:rPr>
                    <w:t>第3次</w:t>
                  </w:r>
                </w:p>
              </w:tc>
              <w:tc>
                <w:tcPr>
                  <w:tcW w:w="1021" w:type="dxa"/>
                  <w:vMerge w:val="continue"/>
                  <w:tcBorders>
                    <w:bottom w:val="single" w:color="auto" w:sz="12" w:space="0"/>
                  </w:tcBorders>
                  <w:vAlign w:val="center"/>
                </w:tcPr>
                <w:p>
                  <w:pPr>
                    <w:ind w:left="-42" w:leftChars="-20" w:right="-42" w:rightChars="-20"/>
                    <w:jc w:val="center"/>
                    <w:rPr>
                      <w:sz w:val="18"/>
                      <w:szCs w:val="18"/>
                    </w:rPr>
                  </w:pPr>
                </w:p>
              </w:tc>
              <w:tc>
                <w:tcPr>
                  <w:tcW w:w="611" w:type="dxa"/>
                  <w:vMerge w:val="continue"/>
                  <w:tcBorders>
                    <w:bottom w:val="single" w:color="auto" w:sz="12" w:space="0"/>
                  </w:tcBorders>
                  <w:vAlign w:val="center"/>
                </w:tcPr>
                <w:p>
                  <w:pPr>
                    <w:ind w:left="-42" w:leftChars="-20" w:right="-42" w:rightChars="-20"/>
                    <w:jc w:val="center"/>
                    <w:rPr>
                      <w:sz w:val="18"/>
                      <w:szCs w:val="18"/>
                    </w:rPr>
                  </w:pPr>
                </w:p>
              </w:tc>
              <w:tc>
                <w:tcPr>
                  <w:tcW w:w="708" w:type="dxa"/>
                  <w:vMerge w:val="continue"/>
                  <w:tcBorders>
                    <w:bottom w:val="single" w:color="auto" w:sz="12" w:space="0"/>
                  </w:tcBorders>
                  <w:vAlign w:val="center"/>
                </w:tcPr>
                <w:p>
                  <w:pPr>
                    <w:ind w:left="-42" w:leftChars="-20" w:right="-42"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restart"/>
                  <w:tcBorders>
                    <w:top w:val="single" w:color="auto" w:sz="12" w:space="0"/>
                  </w:tcBorders>
                  <w:shd w:val="clear" w:color="auto" w:fill="auto"/>
                  <w:vAlign w:val="center"/>
                </w:tcPr>
                <w:p>
                  <w:pPr>
                    <w:ind w:left="-42" w:leftChars="-20" w:right="-42" w:rightChars="-20"/>
                    <w:jc w:val="center"/>
                    <w:rPr>
                      <w:sz w:val="18"/>
                      <w:szCs w:val="18"/>
                    </w:rPr>
                  </w:pPr>
                  <w:r>
                    <w:rPr>
                      <w:rFonts w:hint="eastAsia"/>
                      <w:sz w:val="18"/>
                      <w:szCs w:val="18"/>
                    </w:rPr>
                    <w:t>实验室废气排气筒出口处◎1#</w:t>
                  </w:r>
                </w:p>
              </w:tc>
              <w:tc>
                <w:tcPr>
                  <w:tcW w:w="928" w:type="dxa"/>
                  <w:vMerge w:val="restart"/>
                  <w:tcBorders>
                    <w:top w:val="single" w:color="auto" w:sz="12" w:space="0"/>
                  </w:tcBorders>
                  <w:shd w:val="clear" w:color="auto" w:fill="auto"/>
                  <w:vAlign w:val="center"/>
                </w:tcPr>
                <w:p>
                  <w:pPr>
                    <w:ind w:left="-42" w:leftChars="-20" w:right="-42" w:rightChars="-20"/>
                    <w:jc w:val="center"/>
                    <w:rPr>
                      <w:sz w:val="18"/>
                      <w:szCs w:val="18"/>
                    </w:rPr>
                  </w:pPr>
                  <w:r>
                    <w:rPr>
                      <w:rFonts w:hint="eastAsia"/>
                      <w:sz w:val="18"/>
                      <w:szCs w:val="18"/>
                    </w:rPr>
                    <w:t>2022/3/9</w:t>
                  </w:r>
                </w:p>
              </w:tc>
              <w:tc>
                <w:tcPr>
                  <w:tcW w:w="1418" w:type="dxa"/>
                  <w:gridSpan w:val="2"/>
                  <w:tcBorders>
                    <w:top w:val="single" w:color="auto" w:sz="12" w:space="0"/>
                  </w:tcBorders>
                  <w:shd w:val="clear" w:color="auto" w:fill="auto"/>
                  <w:vAlign w:val="center"/>
                </w:tcPr>
                <w:p>
                  <w:pPr>
                    <w:ind w:left="-42" w:leftChars="-20" w:right="-42" w:rightChars="-20"/>
                    <w:jc w:val="center"/>
                    <w:rPr>
                      <w:sz w:val="18"/>
                      <w:szCs w:val="18"/>
                    </w:rPr>
                  </w:pPr>
                  <w:r>
                    <w:rPr>
                      <w:rFonts w:hint="eastAsia"/>
                      <w:sz w:val="18"/>
                      <w:szCs w:val="18"/>
                    </w:rPr>
                    <w:t>标况风量</w:t>
                  </w:r>
                </w:p>
              </w:tc>
              <w:tc>
                <w:tcPr>
                  <w:tcW w:w="845" w:type="dxa"/>
                  <w:tcBorders>
                    <w:top w:val="single" w:color="auto" w:sz="12" w:space="0"/>
                  </w:tcBorders>
                  <w:shd w:val="clear" w:color="auto" w:fill="auto"/>
                  <w:vAlign w:val="center"/>
                </w:tcPr>
                <w:p>
                  <w:pPr>
                    <w:ind w:left="-42" w:leftChars="-20" w:right="-42" w:rightChars="-20"/>
                    <w:jc w:val="center"/>
                    <w:rPr>
                      <w:sz w:val="18"/>
                      <w:szCs w:val="18"/>
                    </w:rPr>
                  </w:pPr>
                  <w:r>
                    <w:rPr>
                      <w:rFonts w:hint="eastAsia"/>
                      <w:sz w:val="18"/>
                      <w:szCs w:val="18"/>
                    </w:rPr>
                    <w:t>m</w:t>
                  </w:r>
                  <w:r>
                    <w:rPr>
                      <w:rFonts w:hint="eastAsia"/>
                      <w:sz w:val="18"/>
                      <w:szCs w:val="18"/>
                      <w:vertAlign w:val="superscript"/>
                    </w:rPr>
                    <w:t>3</w:t>
                  </w:r>
                  <w:r>
                    <w:rPr>
                      <w:rFonts w:hint="eastAsia"/>
                      <w:sz w:val="18"/>
                      <w:szCs w:val="18"/>
                    </w:rPr>
                    <w:t>/h</w:t>
                  </w:r>
                </w:p>
              </w:tc>
              <w:tc>
                <w:tcPr>
                  <w:tcW w:w="968" w:type="dxa"/>
                  <w:tcBorders>
                    <w:top w:val="single" w:color="auto" w:sz="12" w:space="0"/>
                  </w:tcBorders>
                  <w:shd w:val="clear" w:color="auto" w:fill="auto"/>
                  <w:vAlign w:val="center"/>
                </w:tcPr>
                <w:p>
                  <w:pPr>
                    <w:widowControl/>
                    <w:ind w:left="-105" w:leftChars="-50" w:right="-105" w:rightChars="-50"/>
                    <w:jc w:val="center"/>
                    <w:rPr>
                      <w:sz w:val="18"/>
                      <w:szCs w:val="18"/>
                    </w:rPr>
                  </w:pPr>
                  <w:r>
                    <w:rPr>
                      <w:rFonts w:hint="eastAsia"/>
                      <w:sz w:val="18"/>
                      <w:szCs w:val="18"/>
                    </w:rPr>
                    <w:t>3162</w:t>
                  </w:r>
                </w:p>
              </w:tc>
              <w:tc>
                <w:tcPr>
                  <w:tcW w:w="914" w:type="dxa"/>
                  <w:tcBorders>
                    <w:top w:val="single" w:color="auto" w:sz="12" w:space="0"/>
                  </w:tcBorders>
                  <w:shd w:val="clear" w:color="auto" w:fill="auto"/>
                  <w:vAlign w:val="center"/>
                </w:tcPr>
                <w:p>
                  <w:pPr>
                    <w:widowControl/>
                    <w:ind w:left="-105" w:leftChars="-50" w:right="-105" w:rightChars="-50"/>
                    <w:jc w:val="center"/>
                    <w:rPr>
                      <w:sz w:val="18"/>
                      <w:szCs w:val="18"/>
                    </w:rPr>
                  </w:pPr>
                  <w:r>
                    <w:rPr>
                      <w:rFonts w:hint="eastAsia"/>
                      <w:sz w:val="18"/>
                      <w:szCs w:val="18"/>
                    </w:rPr>
                    <w:t>3094</w:t>
                  </w:r>
                </w:p>
              </w:tc>
              <w:tc>
                <w:tcPr>
                  <w:tcW w:w="968" w:type="dxa"/>
                  <w:tcBorders>
                    <w:top w:val="single" w:color="auto" w:sz="12" w:space="0"/>
                  </w:tcBorders>
                  <w:shd w:val="clear" w:color="auto" w:fill="auto"/>
                  <w:vAlign w:val="center"/>
                </w:tcPr>
                <w:p>
                  <w:pPr>
                    <w:widowControl/>
                    <w:ind w:left="-105" w:leftChars="-50" w:right="-105" w:rightChars="-50"/>
                    <w:jc w:val="center"/>
                    <w:rPr>
                      <w:sz w:val="18"/>
                      <w:szCs w:val="18"/>
                    </w:rPr>
                  </w:pPr>
                  <w:r>
                    <w:rPr>
                      <w:rFonts w:hint="eastAsia"/>
                      <w:sz w:val="18"/>
                      <w:szCs w:val="18"/>
                    </w:rPr>
                    <w:t>3120</w:t>
                  </w:r>
                </w:p>
              </w:tc>
              <w:tc>
                <w:tcPr>
                  <w:tcW w:w="1021" w:type="dxa"/>
                  <w:tcBorders>
                    <w:top w:val="single" w:color="auto" w:sz="12" w:space="0"/>
                  </w:tcBorders>
                  <w:vAlign w:val="center"/>
                </w:tcPr>
                <w:p>
                  <w:pPr>
                    <w:widowControl/>
                    <w:ind w:left="-105" w:leftChars="-50" w:right="-105" w:rightChars="-50"/>
                    <w:jc w:val="center"/>
                    <w:rPr>
                      <w:sz w:val="18"/>
                      <w:szCs w:val="18"/>
                    </w:rPr>
                  </w:pPr>
                  <w:r>
                    <w:rPr>
                      <w:rFonts w:hint="eastAsia"/>
                      <w:sz w:val="18"/>
                      <w:szCs w:val="18"/>
                    </w:rPr>
                    <w:t>3162</w:t>
                  </w:r>
                </w:p>
              </w:tc>
              <w:tc>
                <w:tcPr>
                  <w:tcW w:w="611" w:type="dxa"/>
                  <w:tcBorders>
                    <w:top w:val="single" w:color="auto" w:sz="12" w:space="0"/>
                  </w:tcBorders>
                  <w:vAlign w:val="center"/>
                </w:tcPr>
                <w:p>
                  <w:pPr>
                    <w:ind w:left="-42" w:leftChars="-20" w:right="-42" w:rightChars="-20"/>
                    <w:jc w:val="center"/>
                    <w:rPr>
                      <w:sz w:val="18"/>
                      <w:szCs w:val="18"/>
                    </w:rPr>
                  </w:pPr>
                  <w:r>
                    <w:rPr>
                      <w:rFonts w:hint="eastAsia"/>
                      <w:sz w:val="18"/>
                      <w:szCs w:val="18"/>
                    </w:rPr>
                    <w:t>/</w:t>
                  </w:r>
                </w:p>
              </w:tc>
              <w:tc>
                <w:tcPr>
                  <w:tcW w:w="708" w:type="dxa"/>
                  <w:tcBorders>
                    <w:top w:val="single" w:color="auto" w:sz="12" w:space="0"/>
                  </w:tcBorders>
                  <w:vAlign w:val="center"/>
                </w:tcPr>
                <w:p>
                  <w:pPr>
                    <w:ind w:left="-42" w:leftChars="-20" w:right="-42" w:rightChars="-20"/>
                    <w:jc w:val="center"/>
                    <w:rPr>
                      <w:sz w:val="18"/>
                      <w:szCs w:val="18"/>
                    </w:rPr>
                  </w:pPr>
                  <w:r>
                    <w:rPr>
                      <w:rFonts w:hint="eastAsia"/>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1418" w:type="dxa"/>
                  <w:gridSpan w:val="2"/>
                  <w:shd w:val="clear" w:color="auto" w:fill="auto"/>
                  <w:vAlign w:val="center"/>
                </w:tcPr>
                <w:p>
                  <w:pPr>
                    <w:ind w:left="-42" w:leftChars="-20" w:right="-42" w:rightChars="-20"/>
                    <w:jc w:val="center"/>
                    <w:rPr>
                      <w:sz w:val="18"/>
                      <w:szCs w:val="18"/>
                    </w:rPr>
                  </w:pPr>
                  <w:r>
                    <w:rPr>
                      <w:rFonts w:hint="eastAsia"/>
                      <w:sz w:val="18"/>
                      <w:szCs w:val="18"/>
                    </w:rPr>
                    <w:t>烟气温度</w:t>
                  </w:r>
                </w:p>
              </w:tc>
              <w:tc>
                <w:tcPr>
                  <w:tcW w:w="845" w:type="dxa"/>
                  <w:shd w:val="clear" w:color="auto" w:fill="auto"/>
                  <w:vAlign w:val="center"/>
                </w:tcPr>
                <w:p>
                  <w:pPr>
                    <w:ind w:left="-42" w:leftChars="-20" w:right="-42" w:rightChars="-20"/>
                    <w:jc w:val="center"/>
                    <w:rPr>
                      <w:sz w:val="18"/>
                      <w:szCs w:val="18"/>
                    </w:rPr>
                  </w:pPr>
                  <w:r>
                    <w:rPr>
                      <w:rFonts w:hint="eastAsia"/>
                      <w:sz w:val="18"/>
                      <w:szCs w:val="18"/>
                    </w:rPr>
                    <w:t>℃</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20</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20</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21</w:t>
                  </w:r>
                </w:p>
              </w:tc>
              <w:tc>
                <w:tcPr>
                  <w:tcW w:w="1021" w:type="dxa"/>
                  <w:vAlign w:val="center"/>
                </w:tcPr>
                <w:p>
                  <w:pPr>
                    <w:widowControl/>
                    <w:ind w:left="-105" w:leftChars="-50" w:right="-105" w:rightChars="-50"/>
                    <w:jc w:val="center"/>
                    <w:rPr>
                      <w:sz w:val="18"/>
                      <w:szCs w:val="18"/>
                    </w:rPr>
                  </w:pPr>
                  <w:r>
                    <w:rPr>
                      <w:rFonts w:hint="eastAsia"/>
                      <w:sz w:val="18"/>
                      <w:szCs w:val="18"/>
                    </w:rPr>
                    <w:t>21</w:t>
                  </w:r>
                </w:p>
              </w:tc>
              <w:tc>
                <w:tcPr>
                  <w:tcW w:w="611" w:type="dxa"/>
                  <w:vAlign w:val="center"/>
                </w:tcPr>
                <w:p>
                  <w:pPr>
                    <w:ind w:left="-42" w:leftChars="-20" w:right="-42" w:rightChars="-20"/>
                    <w:jc w:val="center"/>
                    <w:rPr>
                      <w:sz w:val="18"/>
                      <w:szCs w:val="18"/>
                    </w:rPr>
                  </w:pPr>
                  <w:r>
                    <w:rPr>
                      <w:rFonts w:hint="eastAsia"/>
                      <w:sz w:val="18"/>
                      <w:szCs w:val="18"/>
                    </w:rPr>
                    <w:t>/</w:t>
                  </w:r>
                </w:p>
              </w:tc>
              <w:tc>
                <w:tcPr>
                  <w:tcW w:w="708" w:type="dxa"/>
                  <w:vAlign w:val="center"/>
                </w:tcPr>
                <w:p>
                  <w:pPr>
                    <w:ind w:left="-42" w:leftChars="-20" w:right="-42"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1418" w:type="dxa"/>
                  <w:gridSpan w:val="2"/>
                  <w:shd w:val="clear" w:color="auto" w:fill="auto"/>
                  <w:vAlign w:val="center"/>
                </w:tcPr>
                <w:p>
                  <w:pPr>
                    <w:ind w:left="-42" w:leftChars="-20" w:right="-42" w:rightChars="-20"/>
                    <w:jc w:val="center"/>
                    <w:rPr>
                      <w:sz w:val="18"/>
                      <w:szCs w:val="18"/>
                    </w:rPr>
                  </w:pPr>
                  <w:r>
                    <w:rPr>
                      <w:rFonts w:hint="eastAsia"/>
                      <w:sz w:val="18"/>
                      <w:szCs w:val="18"/>
                    </w:rPr>
                    <w:t>流速</w:t>
                  </w:r>
                </w:p>
              </w:tc>
              <w:tc>
                <w:tcPr>
                  <w:tcW w:w="845" w:type="dxa"/>
                  <w:shd w:val="clear" w:color="auto" w:fill="auto"/>
                  <w:vAlign w:val="center"/>
                </w:tcPr>
                <w:p>
                  <w:pPr>
                    <w:ind w:left="-42" w:leftChars="-20" w:right="-42" w:rightChars="-20"/>
                    <w:jc w:val="center"/>
                    <w:rPr>
                      <w:sz w:val="18"/>
                      <w:szCs w:val="18"/>
                    </w:rPr>
                  </w:pPr>
                  <w:r>
                    <w:rPr>
                      <w:rFonts w:hint="eastAsia"/>
                      <w:sz w:val="18"/>
                      <w:szCs w:val="18"/>
                    </w:rPr>
                    <w:t>m/s</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4.7</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4.6</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4.7</w:t>
                  </w:r>
                </w:p>
              </w:tc>
              <w:tc>
                <w:tcPr>
                  <w:tcW w:w="1021" w:type="dxa"/>
                  <w:vAlign w:val="center"/>
                </w:tcPr>
                <w:p>
                  <w:pPr>
                    <w:widowControl/>
                    <w:ind w:left="-105" w:leftChars="-50" w:right="-105" w:rightChars="-50"/>
                    <w:jc w:val="center"/>
                    <w:rPr>
                      <w:sz w:val="18"/>
                      <w:szCs w:val="18"/>
                    </w:rPr>
                  </w:pPr>
                  <w:r>
                    <w:rPr>
                      <w:rFonts w:hint="eastAsia"/>
                      <w:sz w:val="18"/>
                      <w:szCs w:val="18"/>
                    </w:rPr>
                    <w:t>4.7</w:t>
                  </w:r>
                </w:p>
              </w:tc>
              <w:tc>
                <w:tcPr>
                  <w:tcW w:w="611" w:type="dxa"/>
                  <w:vAlign w:val="center"/>
                </w:tcPr>
                <w:p>
                  <w:pPr>
                    <w:ind w:left="-42" w:leftChars="-20" w:right="-42" w:rightChars="-20"/>
                    <w:jc w:val="center"/>
                    <w:rPr>
                      <w:sz w:val="18"/>
                      <w:szCs w:val="18"/>
                    </w:rPr>
                  </w:pPr>
                  <w:r>
                    <w:rPr>
                      <w:rFonts w:hint="eastAsia"/>
                      <w:sz w:val="18"/>
                      <w:szCs w:val="18"/>
                    </w:rPr>
                    <w:t>/</w:t>
                  </w:r>
                </w:p>
              </w:tc>
              <w:tc>
                <w:tcPr>
                  <w:tcW w:w="708" w:type="dxa"/>
                  <w:vAlign w:val="center"/>
                </w:tcPr>
                <w:p>
                  <w:pPr>
                    <w:ind w:left="-42" w:leftChars="-20" w:right="-42" w:rightChars="-20"/>
                    <w:jc w:val="center"/>
                    <w:rPr>
                      <w:sz w:val="18"/>
                      <w:szCs w:val="18"/>
                    </w:rPr>
                  </w:pPr>
                  <w:r>
                    <w:rPr>
                      <w:rFonts w:hint="eastAsia"/>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830" w:type="dxa"/>
                  <w:vMerge w:val="restart"/>
                  <w:shd w:val="clear" w:color="auto" w:fill="auto"/>
                  <w:vAlign w:val="center"/>
                </w:tcPr>
                <w:p>
                  <w:pPr>
                    <w:ind w:left="-42" w:leftChars="-20" w:right="-42" w:rightChars="-20"/>
                    <w:jc w:val="center"/>
                    <w:rPr>
                      <w:sz w:val="18"/>
                      <w:szCs w:val="18"/>
                    </w:rPr>
                  </w:pPr>
                  <w:r>
                    <w:rPr>
                      <w:rFonts w:hint="eastAsia"/>
                      <w:color w:val="000000"/>
                      <w:sz w:val="18"/>
                      <w:szCs w:val="18"/>
                    </w:rPr>
                    <w:t xml:space="preserve"> VOCs（甲醇）</w:t>
                  </w:r>
                </w:p>
              </w:tc>
              <w:tc>
                <w:tcPr>
                  <w:tcW w:w="588" w:type="dxa"/>
                  <w:shd w:val="clear" w:color="auto" w:fill="auto"/>
                  <w:vAlign w:val="center"/>
                </w:tcPr>
                <w:p>
                  <w:pPr>
                    <w:ind w:left="-42" w:leftChars="-20" w:right="-42" w:rightChars="-20"/>
                    <w:jc w:val="center"/>
                    <w:rPr>
                      <w:sz w:val="18"/>
                      <w:szCs w:val="18"/>
                    </w:rPr>
                  </w:pPr>
                  <w:r>
                    <w:rPr>
                      <w:rFonts w:hint="eastAsia"/>
                      <w:sz w:val="18"/>
                      <w:szCs w:val="18"/>
                    </w:rPr>
                    <w:t>排放浓度</w:t>
                  </w:r>
                </w:p>
              </w:tc>
              <w:tc>
                <w:tcPr>
                  <w:tcW w:w="845" w:type="dxa"/>
                  <w:shd w:val="clear" w:color="auto" w:fill="auto"/>
                  <w:vAlign w:val="center"/>
                </w:tcPr>
                <w:p>
                  <w:pPr>
                    <w:ind w:left="-42" w:leftChars="-20" w:right="-42" w:rightChars="-20"/>
                    <w:jc w:val="center"/>
                    <w:rPr>
                      <w:sz w:val="18"/>
                      <w:szCs w:val="18"/>
                    </w:rPr>
                  </w:pPr>
                  <w:r>
                    <w:rPr>
                      <w:rFonts w:hint="eastAsia"/>
                      <w:sz w:val="18"/>
                      <w:szCs w:val="18"/>
                    </w:rPr>
                    <w:t>mg/m</w:t>
                  </w:r>
                  <w:r>
                    <w:rPr>
                      <w:rFonts w:hint="eastAsia"/>
                      <w:sz w:val="18"/>
                      <w:szCs w:val="18"/>
                      <w:vertAlign w:val="superscript"/>
                    </w:rPr>
                    <w:t>3</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ND（2）</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ND（2）</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ND（2）</w:t>
                  </w:r>
                </w:p>
              </w:tc>
              <w:tc>
                <w:tcPr>
                  <w:tcW w:w="1021" w:type="dxa"/>
                  <w:vAlign w:val="center"/>
                </w:tcPr>
                <w:p>
                  <w:pPr>
                    <w:widowControl/>
                    <w:ind w:left="-105" w:leftChars="-50" w:right="-105" w:rightChars="-50"/>
                    <w:jc w:val="center"/>
                    <w:rPr>
                      <w:sz w:val="18"/>
                      <w:szCs w:val="18"/>
                    </w:rPr>
                  </w:pPr>
                  <w:r>
                    <w:rPr>
                      <w:rFonts w:hint="eastAsia"/>
                      <w:sz w:val="18"/>
                      <w:szCs w:val="18"/>
                    </w:rPr>
                    <w:t>ND（2）</w:t>
                  </w:r>
                </w:p>
              </w:tc>
              <w:tc>
                <w:tcPr>
                  <w:tcW w:w="611" w:type="dxa"/>
                  <w:vAlign w:val="center"/>
                </w:tcPr>
                <w:p>
                  <w:pPr>
                    <w:ind w:left="-42" w:leftChars="-20" w:right="-42" w:rightChars="-20"/>
                    <w:jc w:val="center"/>
                    <w:rPr>
                      <w:sz w:val="18"/>
                      <w:szCs w:val="18"/>
                    </w:rPr>
                  </w:pPr>
                  <w:r>
                    <w:rPr>
                      <w:rFonts w:hint="eastAsia"/>
                      <w:sz w:val="18"/>
                      <w:szCs w:val="18"/>
                    </w:rPr>
                    <w:t>60</w:t>
                  </w:r>
                </w:p>
              </w:tc>
              <w:tc>
                <w:tcPr>
                  <w:tcW w:w="708" w:type="dxa"/>
                  <w:vAlign w:val="center"/>
                </w:tcPr>
                <w:p>
                  <w:pPr>
                    <w:ind w:left="-42" w:leftChars="-20" w:right="-42" w:rightChars="-20"/>
                    <w:jc w:val="center"/>
                    <w:rPr>
                      <w:sz w:val="18"/>
                      <w:szCs w:val="18"/>
                    </w:rPr>
                  </w:pPr>
                  <w:r>
                    <w:rPr>
                      <w:rFonts w:hint="eastAsia"/>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830" w:type="dxa"/>
                  <w:vMerge w:val="continue"/>
                  <w:shd w:val="clear" w:color="auto" w:fill="auto"/>
                  <w:vAlign w:val="center"/>
                </w:tcPr>
                <w:p>
                  <w:pPr>
                    <w:ind w:left="-42" w:leftChars="-20" w:right="-42" w:rightChars="-20"/>
                    <w:jc w:val="center"/>
                    <w:rPr>
                      <w:sz w:val="18"/>
                      <w:szCs w:val="18"/>
                    </w:rPr>
                  </w:pPr>
                </w:p>
              </w:tc>
              <w:tc>
                <w:tcPr>
                  <w:tcW w:w="588" w:type="dxa"/>
                  <w:shd w:val="clear" w:color="auto" w:fill="auto"/>
                  <w:vAlign w:val="center"/>
                </w:tcPr>
                <w:p>
                  <w:pPr>
                    <w:ind w:left="-42" w:leftChars="-20" w:right="-42" w:rightChars="-20"/>
                    <w:jc w:val="center"/>
                    <w:rPr>
                      <w:sz w:val="18"/>
                      <w:szCs w:val="18"/>
                    </w:rPr>
                  </w:pPr>
                  <w:r>
                    <w:rPr>
                      <w:rFonts w:hint="eastAsia"/>
                      <w:sz w:val="18"/>
                      <w:szCs w:val="18"/>
                    </w:rPr>
                    <w:t>排放速率</w:t>
                  </w:r>
                </w:p>
              </w:tc>
              <w:tc>
                <w:tcPr>
                  <w:tcW w:w="845" w:type="dxa"/>
                  <w:shd w:val="clear" w:color="auto" w:fill="auto"/>
                  <w:vAlign w:val="center"/>
                </w:tcPr>
                <w:p>
                  <w:pPr>
                    <w:ind w:left="-42" w:leftChars="-20" w:right="-42" w:rightChars="-20"/>
                    <w:jc w:val="center"/>
                    <w:rPr>
                      <w:sz w:val="18"/>
                      <w:szCs w:val="18"/>
                    </w:rPr>
                  </w:pPr>
                  <w:r>
                    <w:rPr>
                      <w:rFonts w:hint="eastAsia"/>
                      <w:sz w:val="18"/>
                      <w:szCs w:val="18"/>
                    </w:rPr>
                    <w:t>kg/h</w:t>
                  </w:r>
                </w:p>
              </w:tc>
              <w:tc>
                <w:tcPr>
                  <w:tcW w:w="968" w:type="dxa"/>
                  <w:shd w:val="clear" w:color="auto" w:fill="auto"/>
                  <w:vAlign w:val="center"/>
                </w:tcPr>
                <w:p>
                  <w:pPr>
                    <w:widowControl/>
                    <w:ind w:left="-105" w:leftChars="-50" w:right="-105" w:rightChars="-50"/>
                    <w:jc w:val="center"/>
                    <w:rPr>
                      <w:sz w:val="18"/>
                      <w:szCs w:val="18"/>
                    </w:rPr>
                  </w:pPr>
                  <w:r>
                    <w:rPr>
                      <w:sz w:val="18"/>
                      <w:szCs w:val="18"/>
                    </w:rPr>
                    <w:t>＜</w:t>
                  </w:r>
                  <w:r>
                    <w:rPr>
                      <w:rFonts w:hint="eastAsia"/>
                      <w:sz w:val="18"/>
                      <w:szCs w:val="18"/>
                    </w:rPr>
                    <w:t>6.32</w:t>
                  </w:r>
                  <w:r>
                    <w:rPr>
                      <w:sz w:val="18"/>
                      <w:szCs w:val="18"/>
                    </w:rPr>
                    <w:t>×</w:t>
                  </w:r>
                  <w:r>
                    <w:rPr>
                      <w:rFonts w:hint="eastAsia"/>
                      <w:sz w:val="18"/>
                      <w:szCs w:val="18"/>
                    </w:rPr>
                    <w:t>10</w:t>
                  </w:r>
                  <w:r>
                    <w:rPr>
                      <w:rFonts w:hint="eastAsia"/>
                      <w:sz w:val="18"/>
                      <w:szCs w:val="18"/>
                      <w:vertAlign w:val="superscript"/>
                    </w:rPr>
                    <w:t>-3</w:t>
                  </w:r>
                </w:p>
              </w:tc>
              <w:tc>
                <w:tcPr>
                  <w:tcW w:w="914" w:type="dxa"/>
                  <w:shd w:val="clear" w:color="auto" w:fill="auto"/>
                  <w:vAlign w:val="center"/>
                </w:tcPr>
                <w:p>
                  <w:pPr>
                    <w:widowControl/>
                    <w:ind w:left="-105" w:leftChars="-50" w:right="-105" w:rightChars="-50"/>
                    <w:jc w:val="center"/>
                    <w:rPr>
                      <w:sz w:val="18"/>
                      <w:szCs w:val="18"/>
                    </w:rPr>
                  </w:pPr>
                  <w:r>
                    <w:rPr>
                      <w:sz w:val="18"/>
                      <w:szCs w:val="18"/>
                    </w:rPr>
                    <w:t>＜</w:t>
                  </w:r>
                  <w:r>
                    <w:rPr>
                      <w:rFonts w:hint="eastAsia"/>
                      <w:sz w:val="18"/>
                      <w:szCs w:val="18"/>
                    </w:rPr>
                    <w:t>6.19</w:t>
                  </w:r>
                  <w:r>
                    <w:rPr>
                      <w:sz w:val="18"/>
                      <w:szCs w:val="18"/>
                    </w:rPr>
                    <w:t>×</w:t>
                  </w:r>
                  <w:r>
                    <w:rPr>
                      <w:rFonts w:hint="eastAsia"/>
                      <w:sz w:val="18"/>
                      <w:szCs w:val="18"/>
                    </w:rPr>
                    <w:t>10</w:t>
                  </w:r>
                  <w:r>
                    <w:rPr>
                      <w:rFonts w:hint="eastAsia"/>
                      <w:sz w:val="18"/>
                      <w:szCs w:val="18"/>
                      <w:vertAlign w:val="superscript"/>
                    </w:rPr>
                    <w:t>-3</w:t>
                  </w:r>
                </w:p>
              </w:tc>
              <w:tc>
                <w:tcPr>
                  <w:tcW w:w="968" w:type="dxa"/>
                  <w:shd w:val="clear" w:color="auto" w:fill="auto"/>
                  <w:vAlign w:val="center"/>
                </w:tcPr>
                <w:p>
                  <w:pPr>
                    <w:widowControl/>
                    <w:ind w:left="-105" w:leftChars="-50" w:right="-105" w:rightChars="-50"/>
                    <w:jc w:val="center"/>
                    <w:rPr>
                      <w:sz w:val="18"/>
                      <w:szCs w:val="18"/>
                    </w:rPr>
                  </w:pPr>
                  <w:r>
                    <w:rPr>
                      <w:sz w:val="18"/>
                      <w:szCs w:val="18"/>
                    </w:rPr>
                    <w:t>＜</w:t>
                  </w:r>
                  <w:r>
                    <w:rPr>
                      <w:rFonts w:hint="eastAsia"/>
                      <w:sz w:val="18"/>
                      <w:szCs w:val="18"/>
                    </w:rPr>
                    <w:t>6.24</w:t>
                  </w:r>
                  <w:r>
                    <w:rPr>
                      <w:sz w:val="18"/>
                      <w:szCs w:val="18"/>
                    </w:rPr>
                    <w:t>×</w:t>
                  </w:r>
                  <w:r>
                    <w:rPr>
                      <w:rFonts w:hint="eastAsia"/>
                      <w:sz w:val="18"/>
                      <w:szCs w:val="18"/>
                    </w:rPr>
                    <w:t>10</w:t>
                  </w:r>
                  <w:r>
                    <w:rPr>
                      <w:rFonts w:hint="eastAsia"/>
                      <w:sz w:val="18"/>
                      <w:szCs w:val="18"/>
                      <w:vertAlign w:val="superscript"/>
                    </w:rPr>
                    <w:t>-3</w:t>
                  </w:r>
                </w:p>
              </w:tc>
              <w:tc>
                <w:tcPr>
                  <w:tcW w:w="1021" w:type="dxa"/>
                  <w:vAlign w:val="center"/>
                </w:tcPr>
                <w:p>
                  <w:pPr>
                    <w:widowControl/>
                    <w:ind w:left="-105" w:leftChars="-50" w:right="-105" w:rightChars="-50"/>
                    <w:jc w:val="center"/>
                    <w:rPr>
                      <w:sz w:val="18"/>
                      <w:szCs w:val="18"/>
                    </w:rPr>
                  </w:pPr>
                  <w:r>
                    <w:rPr>
                      <w:sz w:val="18"/>
                      <w:szCs w:val="18"/>
                    </w:rPr>
                    <w:t>＜</w:t>
                  </w:r>
                  <w:r>
                    <w:rPr>
                      <w:rFonts w:hint="eastAsia"/>
                      <w:sz w:val="18"/>
                      <w:szCs w:val="18"/>
                    </w:rPr>
                    <w:t>6.32</w:t>
                  </w:r>
                  <w:r>
                    <w:rPr>
                      <w:sz w:val="18"/>
                      <w:szCs w:val="18"/>
                    </w:rPr>
                    <w:t>×</w:t>
                  </w:r>
                  <w:r>
                    <w:rPr>
                      <w:rFonts w:hint="eastAsia"/>
                      <w:sz w:val="18"/>
                      <w:szCs w:val="18"/>
                    </w:rPr>
                    <w:t>10</w:t>
                  </w:r>
                  <w:r>
                    <w:rPr>
                      <w:rFonts w:hint="eastAsia"/>
                      <w:sz w:val="18"/>
                      <w:szCs w:val="18"/>
                      <w:vertAlign w:val="superscript"/>
                    </w:rPr>
                    <w:t>-3</w:t>
                  </w:r>
                </w:p>
              </w:tc>
              <w:tc>
                <w:tcPr>
                  <w:tcW w:w="611" w:type="dxa"/>
                  <w:vAlign w:val="center"/>
                </w:tcPr>
                <w:p>
                  <w:pPr>
                    <w:ind w:left="-42" w:leftChars="-20" w:right="-42" w:rightChars="-20"/>
                    <w:jc w:val="center"/>
                    <w:rPr>
                      <w:sz w:val="18"/>
                      <w:szCs w:val="18"/>
                    </w:rPr>
                  </w:pPr>
                  <w:r>
                    <w:rPr>
                      <w:rFonts w:hint="eastAsia"/>
                      <w:sz w:val="18"/>
                      <w:szCs w:val="18"/>
                    </w:rPr>
                    <w:t>1.8</w:t>
                  </w:r>
                </w:p>
              </w:tc>
              <w:tc>
                <w:tcPr>
                  <w:tcW w:w="708" w:type="dxa"/>
                  <w:vAlign w:val="center"/>
                </w:tcPr>
                <w:p>
                  <w:pPr>
                    <w:ind w:left="-42" w:leftChars="-20" w:right="-42" w:rightChars="-20"/>
                    <w:jc w:val="center"/>
                    <w:rPr>
                      <w:sz w:val="18"/>
                      <w:szCs w:val="18"/>
                    </w:rPr>
                  </w:pPr>
                  <w:r>
                    <w:rPr>
                      <w:rFonts w:hint="eastAsia"/>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restart"/>
                  <w:shd w:val="clear" w:color="auto" w:fill="auto"/>
                  <w:vAlign w:val="center"/>
                </w:tcPr>
                <w:p>
                  <w:pPr>
                    <w:ind w:left="-42" w:leftChars="-20" w:right="-42" w:rightChars="-20"/>
                    <w:jc w:val="center"/>
                    <w:rPr>
                      <w:sz w:val="18"/>
                      <w:szCs w:val="18"/>
                    </w:rPr>
                  </w:pPr>
                  <w:r>
                    <w:rPr>
                      <w:rFonts w:hint="eastAsia"/>
                      <w:sz w:val="18"/>
                      <w:szCs w:val="18"/>
                    </w:rPr>
                    <w:t>2022/3/10</w:t>
                  </w:r>
                </w:p>
              </w:tc>
              <w:tc>
                <w:tcPr>
                  <w:tcW w:w="1418" w:type="dxa"/>
                  <w:gridSpan w:val="2"/>
                  <w:shd w:val="clear" w:color="auto" w:fill="auto"/>
                  <w:vAlign w:val="center"/>
                </w:tcPr>
                <w:p>
                  <w:pPr>
                    <w:ind w:left="-42" w:leftChars="-20" w:right="-42" w:rightChars="-20"/>
                    <w:jc w:val="center"/>
                    <w:rPr>
                      <w:sz w:val="18"/>
                      <w:szCs w:val="18"/>
                    </w:rPr>
                  </w:pPr>
                  <w:r>
                    <w:rPr>
                      <w:rFonts w:hint="eastAsia"/>
                      <w:sz w:val="18"/>
                      <w:szCs w:val="18"/>
                    </w:rPr>
                    <w:t>标况风量</w:t>
                  </w:r>
                </w:p>
              </w:tc>
              <w:tc>
                <w:tcPr>
                  <w:tcW w:w="845" w:type="dxa"/>
                  <w:shd w:val="clear" w:color="auto" w:fill="auto"/>
                  <w:vAlign w:val="center"/>
                </w:tcPr>
                <w:p>
                  <w:pPr>
                    <w:ind w:left="-42" w:leftChars="-20" w:right="-42" w:rightChars="-20"/>
                    <w:jc w:val="center"/>
                    <w:rPr>
                      <w:sz w:val="18"/>
                      <w:szCs w:val="18"/>
                    </w:rPr>
                  </w:pPr>
                  <w:r>
                    <w:rPr>
                      <w:rFonts w:hint="eastAsia"/>
                      <w:sz w:val="18"/>
                      <w:szCs w:val="18"/>
                    </w:rPr>
                    <w:t>m</w:t>
                  </w:r>
                  <w:r>
                    <w:rPr>
                      <w:rFonts w:hint="eastAsia"/>
                      <w:sz w:val="18"/>
                      <w:szCs w:val="18"/>
                      <w:vertAlign w:val="superscript"/>
                    </w:rPr>
                    <w:t>3</w:t>
                  </w:r>
                  <w:r>
                    <w:rPr>
                      <w:rFonts w:hint="eastAsia"/>
                      <w:sz w:val="18"/>
                      <w:szCs w:val="18"/>
                    </w:rPr>
                    <w:t>/h</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3002</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3079</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3251</w:t>
                  </w:r>
                </w:p>
              </w:tc>
              <w:tc>
                <w:tcPr>
                  <w:tcW w:w="1021" w:type="dxa"/>
                  <w:vAlign w:val="center"/>
                </w:tcPr>
                <w:p>
                  <w:pPr>
                    <w:widowControl/>
                    <w:ind w:left="-105" w:leftChars="-50" w:right="-105" w:rightChars="-50"/>
                    <w:jc w:val="center"/>
                    <w:rPr>
                      <w:sz w:val="18"/>
                      <w:szCs w:val="18"/>
                    </w:rPr>
                  </w:pPr>
                  <w:r>
                    <w:rPr>
                      <w:rFonts w:hint="eastAsia"/>
                      <w:sz w:val="18"/>
                      <w:szCs w:val="18"/>
                    </w:rPr>
                    <w:t>3251</w:t>
                  </w:r>
                </w:p>
              </w:tc>
              <w:tc>
                <w:tcPr>
                  <w:tcW w:w="611" w:type="dxa"/>
                  <w:vAlign w:val="center"/>
                </w:tcPr>
                <w:p>
                  <w:pPr>
                    <w:ind w:left="-42" w:leftChars="-20" w:right="-42" w:rightChars="-20"/>
                    <w:jc w:val="center"/>
                    <w:rPr>
                      <w:sz w:val="18"/>
                      <w:szCs w:val="18"/>
                    </w:rPr>
                  </w:pPr>
                  <w:r>
                    <w:rPr>
                      <w:rFonts w:hint="eastAsia"/>
                      <w:sz w:val="18"/>
                      <w:szCs w:val="18"/>
                    </w:rPr>
                    <w:t>/</w:t>
                  </w:r>
                </w:p>
              </w:tc>
              <w:tc>
                <w:tcPr>
                  <w:tcW w:w="708" w:type="dxa"/>
                  <w:vAlign w:val="center"/>
                </w:tcPr>
                <w:p>
                  <w:pPr>
                    <w:ind w:left="-42" w:leftChars="-20" w:right="-42" w:rightChars="-20"/>
                    <w:jc w:val="center"/>
                    <w:rPr>
                      <w:sz w:val="18"/>
                      <w:szCs w:val="18"/>
                    </w:rPr>
                  </w:pPr>
                  <w:r>
                    <w:rPr>
                      <w:rFonts w:hint="eastAsia"/>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1418" w:type="dxa"/>
                  <w:gridSpan w:val="2"/>
                  <w:shd w:val="clear" w:color="auto" w:fill="auto"/>
                  <w:vAlign w:val="center"/>
                </w:tcPr>
                <w:p>
                  <w:pPr>
                    <w:ind w:left="-42" w:leftChars="-20" w:right="-42" w:rightChars="-20"/>
                    <w:jc w:val="center"/>
                    <w:rPr>
                      <w:sz w:val="18"/>
                      <w:szCs w:val="18"/>
                    </w:rPr>
                  </w:pPr>
                  <w:r>
                    <w:rPr>
                      <w:rFonts w:hint="eastAsia"/>
                      <w:sz w:val="18"/>
                      <w:szCs w:val="18"/>
                    </w:rPr>
                    <w:t>烟气温度</w:t>
                  </w:r>
                </w:p>
              </w:tc>
              <w:tc>
                <w:tcPr>
                  <w:tcW w:w="845" w:type="dxa"/>
                  <w:shd w:val="clear" w:color="auto" w:fill="auto"/>
                  <w:vAlign w:val="center"/>
                </w:tcPr>
                <w:p>
                  <w:pPr>
                    <w:ind w:left="-42" w:leftChars="-20" w:right="-42" w:rightChars="-20"/>
                    <w:jc w:val="center"/>
                    <w:rPr>
                      <w:sz w:val="18"/>
                      <w:szCs w:val="18"/>
                    </w:rPr>
                  </w:pPr>
                  <w:r>
                    <w:rPr>
                      <w:rFonts w:hint="eastAsia"/>
                      <w:sz w:val="18"/>
                      <w:szCs w:val="18"/>
                    </w:rPr>
                    <w:t>℃</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20</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21</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21</w:t>
                  </w:r>
                </w:p>
              </w:tc>
              <w:tc>
                <w:tcPr>
                  <w:tcW w:w="1021" w:type="dxa"/>
                  <w:vAlign w:val="center"/>
                </w:tcPr>
                <w:p>
                  <w:pPr>
                    <w:widowControl/>
                    <w:ind w:left="-105" w:leftChars="-50" w:right="-105" w:rightChars="-50"/>
                    <w:jc w:val="center"/>
                    <w:rPr>
                      <w:sz w:val="18"/>
                      <w:szCs w:val="18"/>
                    </w:rPr>
                  </w:pPr>
                  <w:r>
                    <w:rPr>
                      <w:rFonts w:hint="eastAsia"/>
                      <w:sz w:val="18"/>
                      <w:szCs w:val="18"/>
                    </w:rPr>
                    <w:t>21</w:t>
                  </w:r>
                </w:p>
              </w:tc>
              <w:tc>
                <w:tcPr>
                  <w:tcW w:w="611" w:type="dxa"/>
                  <w:vAlign w:val="center"/>
                </w:tcPr>
                <w:p>
                  <w:pPr>
                    <w:ind w:left="-42" w:leftChars="-20" w:right="-42" w:rightChars="-20"/>
                    <w:jc w:val="center"/>
                    <w:rPr>
                      <w:sz w:val="18"/>
                      <w:szCs w:val="18"/>
                    </w:rPr>
                  </w:pPr>
                  <w:r>
                    <w:rPr>
                      <w:rFonts w:hint="eastAsia"/>
                      <w:sz w:val="18"/>
                      <w:szCs w:val="18"/>
                    </w:rPr>
                    <w:t>/</w:t>
                  </w:r>
                </w:p>
              </w:tc>
              <w:tc>
                <w:tcPr>
                  <w:tcW w:w="708" w:type="dxa"/>
                  <w:vAlign w:val="center"/>
                </w:tcPr>
                <w:p>
                  <w:pPr>
                    <w:ind w:left="-42" w:leftChars="-20" w:right="-42" w:rightChars="-2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1418" w:type="dxa"/>
                  <w:gridSpan w:val="2"/>
                  <w:shd w:val="clear" w:color="auto" w:fill="auto"/>
                  <w:vAlign w:val="center"/>
                </w:tcPr>
                <w:p>
                  <w:pPr>
                    <w:ind w:left="-42" w:leftChars="-20" w:right="-42" w:rightChars="-20"/>
                    <w:jc w:val="center"/>
                    <w:rPr>
                      <w:sz w:val="18"/>
                      <w:szCs w:val="18"/>
                    </w:rPr>
                  </w:pPr>
                  <w:r>
                    <w:rPr>
                      <w:rFonts w:hint="eastAsia"/>
                      <w:sz w:val="18"/>
                      <w:szCs w:val="18"/>
                    </w:rPr>
                    <w:t>流速</w:t>
                  </w:r>
                </w:p>
              </w:tc>
              <w:tc>
                <w:tcPr>
                  <w:tcW w:w="845" w:type="dxa"/>
                  <w:shd w:val="clear" w:color="auto" w:fill="auto"/>
                  <w:vAlign w:val="center"/>
                </w:tcPr>
                <w:p>
                  <w:pPr>
                    <w:ind w:left="-42" w:leftChars="-20" w:right="-42" w:rightChars="-20"/>
                    <w:jc w:val="center"/>
                    <w:rPr>
                      <w:sz w:val="18"/>
                      <w:szCs w:val="18"/>
                    </w:rPr>
                  </w:pPr>
                  <w:r>
                    <w:rPr>
                      <w:rFonts w:hint="eastAsia"/>
                      <w:sz w:val="18"/>
                      <w:szCs w:val="18"/>
                    </w:rPr>
                    <w:t>m/s</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4.5</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4.6</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4.9</w:t>
                  </w:r>
                </w:p>
              </w:tc>
              <w:tc>
                <w:tcPr>
                  <w:tcW w:w="1021" w:type="dxa"/>
                  <w:vAlign w:val="center"/>
                </w:tcPr>
                <w:p>
                  <w:pPr>
                    <w:widowControl/>
                    <w:ind w:left="-105" w:leftChars="-50" w:right="-105" w:rightChars="-50"/>
                    <w:jc w:val="center"/>
                    <w:rPr>
                      <w:sz w:val="18"/>
                      <w:szCs w:val="18"/>
                    </w:rPr>
                  </w:pPr>
                  <w:r>
                    <w:rPr>
                      <w:rFonts w:hint="eastAsia"/>
                      <w:sz w:val="18"/>
                      <w:szCs w:val="18"/>
                    </w:rPr>
                    <w:t>4.9</w:t>
                  </w:r>
                </w:p>
              </w:tc>
              <w:tc>
                <w:tcPr>
                  <w:tcW w:w="611" w:type="dxa"/>
                  <w:vAlign w:val="center"/>
                </w:tcPr>
                <w:p>
                  <w:pPr>
                    <w:ind w:left="-42" w:leftChars="-20" w:right="-42" w:rightChars="-20"/>
                    <w:jc w:val="center"/>
                    <w:rPr>
                      <w:sz w:val="18"/>
                      <w:szCs w:val="18"/>
                    </w:rPr>
                  </w:pPr>
                  <w:r>
                    <w:rPr>
                      <w:rFonts w:hint="eastAsia"/>
                      <w:sz w:val="18"/>
                      <w:szCs w:val="18"/>
                    </w:rPr>
                    <w:t>/</w:t>
                  </w:r>
                </w:p>
              </w:tc>
              <w:tc>
                <w:tcPr>
                  <w:tcW w:w="708" w:type="dxa"/>
                  <w:vAlign w:val="center"/>
                </w:tcPr>
                <w:p>
                  <w:pPr>
                    <w:ind w:left="-42" w:leftChars="-20" w:right="-42" w:rightChars="-20"/>
                    <w:jc w:val="center"/>
                    <w:rPr>
                      <w:sz w:val="18"/>
                      <w:szCs w:val="18"/>
                    </w:rPr>
                  </w:pPr>
                  <w:r>
                    <w:rPr>
                      <w:rFonts w:hint="eastAsia"/>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830" w:type="dxa"/>
                  <w:vMerge w:val="restart"/>
                  <w:shd w:val="clear" w:color="auto" w:fill="auto"/>
                  <w:vAlign w:val="center"/>
                </w:tcPr>
                <w:p>
                  <w:pPr>
                    <w:ind w:left="-42" w:leftChars="-20" w:right="-42" w:rightChars="-20"/>
                    <w:jc w:val="center"/>
                    <w:rPr>
                      <w:sz w:val="18"/>
                      <w:szCs w:val="18"/>
                    </w:rPr>
                  </w:pPr>
                  <w:r>
                    <w:rPr>
                      <w:rFonts w:hint="eastAsia"/>
                      <w:color w:val="000000"/>
                      <w:sz w:val="18"/>
                      <w:szCs w:val="18"/>
                    </w:rPr>
                    <w:t xml:space="preserve"> VOCs（甲醇）</w:t>
                  </w:r>
                </w:p>
              </w:tc>
              <w:tc>
                <w:tcPr>
                  <w:tcW w:w="588" w:type="dxa"/>
                  <w:shd w:val="clear" w:color="auto" w:fill="auto"/>
                  <w:vAlign w:val="center"/>
                </w:tcPr>
                <w:p>
                  <w:pPr>
                    <w:ind w:left="-42" w:leftChars="-20" w:right="-42" w:rightChars="-20"/>
                    <w:jc w:val="center"/>
                    <w:rPr>
                      <w:sz w:val="18"/>
                      <w:szCs w:val="18"/>
                    </w:rPr>
                  </w:pPr>
                  <w:r>
                    <w:rPr>
                      <w:rFonts w:hint="eastAsia"/>
                      <w:sz w:val="18"/>
                      <w:szCs w:val="18"/>
                    </w:rPr>
                    <w:t>排放浓度</w:t>
                  </w:r>
                </w:p>
              </w:tc>
              <w:tc>
                <w:tcPr>
                  <w:tcW w:w="845" w:type="dxa"/>
                  <w:shd w:val="clear" w:color="auto" w:fill="auto"/>
                  <w:vAlign w:val="center"/>
                </w:tcPr>
                <w:p>
                  <w:pPr>
                    <w:ind w:left="-42" w:leftChars="-20" w:right="-42" w:rightChars="-20"/>
                    <w:jc w:val="center"/>
                    <w:rPr>
                      <w:sz w:val="18"/>
                      <w:szCs w:val="18"/>
                    </w:rPr>
                  </w:pPr>
                  <w:r>
                    <w:rPr>
                      <w:rFonts w:hint="eastAsia"/>
                      <w:sz w:val="18"/>
                      <w:szCs w:val="18"/>
                    </w:rPr>
                    <w:t>mg/m</w:t>
                  </w:r>
                  <w:r>
                    <w:rPr>
                      <w:rFonts w:hint="eastAsia"/>
                      <w:sz w:val="18"/>
                      <w:szCs w:val="18"/>
                      <w:vertAlign w:val="superscript"/>
                    </w:rPr>
                    <w:t>3</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ND（2）</w:t>
                  </w:r>
                </w:p>
              </w:tc>
              <w:tc>
                <w:tcPr>
                  <w:tcW w:w="914" w:type="dxa"/>
                  <w:shd w:val="clear" w:color="auto" w:fill="auto"/>
                  <w:vAlign w:val="center"/>
                </w:tcPr>
                <w:p>
                  <w:pPr>
                    <w:widowControl/>
                    <w:ind w:left="-105" w:leftChars="-50" w:right="-105" w:rightChars="-50"/>
                    <w:jc w:val="center"/>
                    <w:rPr>
                      <w:sz w:val="18"/>
                      <w:szCs w:val="18"/>
                    </w:rPr>
                  </w:pPr>
                  <w:r>
                    <w:rPr>
                      <w:rFonts w:hint="eastAsia"/>
                      <w:sz w:val="18"/>
                      <w:szCs w:val="18"/>
                    </w:rPr>
                    <w:t>ND（2）</w:t>
                  </w:r>
                </w:p>
              </w:tc>
              <w:tc>
                <w:tcPr>
                  <w:tcW w:w="968" w:type="dxa"/>
                  <w:shd w:val="clear" w:color="auto" w:fill="auto"/>
                  <w:vAlign w:val="center"/>
                </w:tcPr>
                <w:p>
                  <w:pPr>
                    <w:widowControl/>
                    <w:ind w:left="-105" w:leftChars="-50" w:right="-105" w:rightChars="-50"/>
                    <w:jc w:val="center"/>
                    <w:rPr>
                      <w:sz w:val="18"/>
                      <w:szCs w:val="18"/>
                    </w:rPr>
                  </w:pPr>
                  <w:r>
                    <w:rPr>
                      <w:rFonts w:hint="eastAsia"/>
                      <w:sz w:val="18"/>
                      <w:szCs w:val="18"/>
                    </w:rPr>
                    <w:t>ND（2）</w:t>
                  </w:r>
                </w:p>
              </w:tc>
              <w:tc>
                <w:tcPr>
                  <w:tcW w:w="1021" w:type="dxa"/>
                  <w:vAlign w:val="center"/>
                </w:tcPr>
                <w:p>
                  <w:pPr>
                    <w:widowControl/>
                    <w:ind w:left="-105" w:leftChars="-50" w:right="-105" w:rightChars="-50"/>
                    <w:jc w:val="center"/>
                    <w:rPr>
                      <w:sz w:val="18"/>
                      <w:szCs w:val="18"/>
                    </w:rPr>
                  </w:pPr>
                  <w:r>
                    <w:rPr>
                      <w:rFonts w:hint="eastAsia"/>
                      <w:sz w:val="18"/>
                      <w:szCs w:val="18"/>
                    </w:rPr>
                    <w:t>ND（2）</w:t>
                  </w:r>
                </w:p>
              </w:tc>
              <w:tc>
                <w:tcPr>
                  <w:tcW w:w="611" w:type="dxa"/>
                  <w:vAlign w:val="center"/>
                </w:tcPr>
                <w:p>
                  <w:pPr>
                    <w:ind w:left="-42" w:leftChars="-20" w:right="-42" w:rightChars="-20"/>
                    <w:jc w:val="center"/>
                    <w:rPr>
                      <w:sz w:val="18"/>
                      <w:szCs w:val="18"/>
                    </w:rPr>
                  </w:pPr>
                  <w:r>
                    <w:rPr>
                      <w:rFonts w:hint="eastAsia"/>
                      <w:sz w:val="18"/>
                      <w:szCs w:val="18"/>
                    </w:rPr>
                    <w:t>60</w:t>
                  </w:r>
                </w:p>
              </w:tc>
              <w:tc>
                <w:tcPr>
                  <w:tcW w:w="708" w:type="dxa"/>
                  <w:vAlign w:val="center"/>
                </w:tcPr>
                <w:p>
                  <w:pPr>
                    <w:ind w:left="-42" w:leftChars="-20" w:right="-42" w:rightChars="-20"/>
                    <w:jc w:val="center"/>
                    <w:rPr>
                      <w:sz w:val="18"/>
                      <w:szCs w:val="18"/>
                    </w:rPr>
                  </w:pPr>
                  <w:r>
                    <w:rPr>
                      <w:rFonts w:hint="eastAsia"/>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0" w:type="dxa"/>
                  <w:vMerge w:val="continue"/>
                  <w:shd w:val="clear" w:color="auto" w:fill="auto"/>
                  <w:vAlign w:val="center"/>
                </w:tcPr>
                <w:p>
                  <w:pPr>
                    <w:ind w:left="-42" w:leftChars="-20" w:right="-42" w:rightChars="-20"/>
                    <w:jc w:val="center"/>
                    <w:rPr>
                      <w:sz w:val="18"/>
                      <w:szCs w:val="18"/>
                    </w:rPr>
                  </w:pPr>
                </w:p>
              </w:tc>
              <w:tc>
                <w:tcPr>
                  <w:tcW w:w="928" w:type="dxa"/>
                  <w:vMerge w:val="continue"/>
                  <w:shd w:val="clear" w:color="auto" w:fill="auto"/>
                  <w:vAlign w:val="center"/>
                </w:tcPr>
                <w:p>
                  <w:pPr>
                    <w:ind w:left="-42" w:leftChars="-20" w:right="-42" w:rightChars="-20"/>
                    <w:jc w:val="center"/>
                    <w:rPr>
                      <w:sz w:val="18"/>
                      <w:szCs w:val="18"/>
                    </w:rPr>
                  </w:pPr>
                </w:p>
              </w:tc>
              <w:tc>
                <w:tcPr>
                  <w:tcW w:w="830" w:type="dxa"/>
                  <w:vMerge w:val="continue"/>
                  <w:shd w:val="clear" w:color="auto" w:fill="auto"/>
                  <w:vAlign w:val="center"/>
                </w:tcPr>
                <w:p>
                  <w:pPr>
                    <w:ind w:left="-42" w:leftChars="-20" w:right="-42" w:rightChars="-20"/>
                    <w:jc w:val="center"/>
                    <w:rPr>
                      <w:sz w:val="18"/>
                      <w:szCs w:val="18"/>
                    </w:rPr>
                  </w:pPr>
                </w:p>
              </w:tc>
              <w:tc>
                <w:tcPr>
                  <w:tcW w:w="588" w:type="dxa"/>
                  <w:shd w:val="clear" w:color="auto" w:fill="auto"/>
                  <w:vAlign w:val="center"/>
                </w:tcPr>
                <w:p>
                  <w:pPr>
                    <w:ind w:left="-42" w:leftChars="-20" w:right="-42" w:rightChars="-20"/>
                    <w:jc w:val="center"/>
                    <w:rPr>
                      <w:sz w:val="18"/>
                      <w:szCs w:val="18"/>
                    </w:rPr>
                  </w:pPr>
                  <w:r>
                    <w:rPr>
                      <w:rFonts w:hint="eastAsia"/>
                      <w:sz w:val="18"/>
                      <w:szCs w:val="18"/>
                    </w:rPr>
                    <w:t>排放速率</w:t>
                  </w:r>
                </w:p>
              </w:tc>
              <w:tc>
                <w:tcPr>
                  <w:tcW w:w="845" w:type="dxa"/>
                  <w:shd w:val="clear" w:color="auto" w:fill="auto"/>
                  <w:vAlign w:val="center"/>
                </w:tcPr>
                <w:p>
                  <w:pPr>
                    <w:ind w:left="-42" w:leftChars="-20" w:right="-42" w:rightChars="-20"/>
                    <w:jc w:val="center"/>
                    <w:rPr>
                      <w:sz w:val="18"/>
                      <w:szCs w:val="18"/>
                    </w:rPr>
                  </w:pPr>
                  <w:r>
                    <w:rPr>
                      <w:rFonts w:hint="eastAsia"/>
                      <w:sz w:val="18"/>
                      <w:szCs w:val="18"/>
                    </w:rPr>
                    <w:t>kg/h</w:t>
                  </w:r>
                </w:p>
              </w:tc>
              <w:tc>
                <w:tcPr>
                  <w:tcW w:w="968" w:type="dxa"/>
                  <w:shd w:val="clear" w:color="auto" w:fill="auto"/>
                  <w:vAlign w:val="center"/>
                </w:tcPr>
                <w:p>
                  <w:pPr>
                    <w:widowControl/>
                    <w:ind w:left="-105" w:leftChars="-50" w:right="-105" w:rightChars="-50"/>
                    <w:jc w:val="center"/>
                    <w:rPr>
                      <w:sz w:val="18"/>
                      <w:szCs w:val="18"/>
                    </w:rPr>
                  </w:pPr>
                  <w:r>
                    <w:rPr>
                      <w:sz w:val="18"/>
                      <w:szCs w:val="18"/>
                    </w:rPr>
                    <w:t>＜</w:t>
                  </w:r>
                  <w:r>
                    <w:rPr>
                      <w:rFonts w:hint="eastAsia"/>
                      <w:sz w:val="18"/>
                      <w:szCs w:val="18"/>
                    </w:rPr>
                    <w:t>6.00</w:t>
                  </w:r>
                  <w:r>
                    <w:rPr>
                      <w:sz w:val="18"/>
                      <w:szCs w:val="18"/>
                    </w:rPr>
                    <w:t>×</w:t>
                  </w:r>
                  <w:r>
                    <w:rPr>
                      <w:rFonts w:hint="eastAsia"/>
                      <w:sz w:val="18"/>
                      <w:szCs w:val="18"/>
                    </w:rPr>
                    <w:t>10</w:t>
                  </w:r>
                  <w:r>
                    <w:rPr>
                      <w:rFonts w:hint="eastAsia"/>
                      <w:sz w:val="18"/>
                      <w:szCs w:val="18"/>
                      <w:vertAlign w:val="superscript"/>
                    </w:rPr>
                    <w:t>-3</w:t>
                  </w:r>
                </w:p>
              </w:tc>
              <w:tc>
                <w:tcPr>
                  <w:tcW w:w="914" w:type="dxa"/>
                  <w:shd w:val="clear" w:color="auto" w:fill="auto"/>
                  <w:vAlign w:val="center"/>
                </w:tcPr>
                <w:p>
                  <w:pPr>
                    <w:widowControl/>
                    <w:ind w:left="-105" w:leftChars="-50" w:right="-105" w:rightChars="-50"/>
                    <w:jc w:val="center"/>
                    <w:rPr>
                      <w:sz w:val="18"/>
                      <w:szCs w:val="18"/>
                    </w:rPr>
                  </w:pPr>
                  <w:r>
                    <w:rPr>
                      <w:sz w:val="18"/>
                      <w:szCs w:val="18"/>
                    </w:rPr>
                    <w:t>＜</w:t>
                  </w:r>
                  <w:r>
                    <w:rPr>
                      <w:rFonts w:hint="eastAsia"/>
                      <w:sz w:val="18"/>
                      <w:szCs w:val="18"/>
                    </w:rPr>
                    <w:t>6.16</w:t>
                  </w:r>
                  <w:r>
                    <w:rPr>
                      <w:sz w:val="18"/>
                      <w:szCs w:val="18"/>
                    </w:rPr>
                    <w:t>×</w:t>
                  </w:r>
                  <w:r>
                    <w:rPr>
                      <w:rFonts w:hint="eastAsia"/>
                      <w:sz w:val="18"/>
                      <w:szCs w:val="18"/>
                    </w:rPr>
                    <w:t>10</w:t>
                  </w:r>
                  <w:r>
                    <w:rPr>
                      <w:rFonts w:hint="eastAsia"/>
                      <w:sz w:val="18"/>
                      <w:szCs w:val="18"/>
                      <w:vertAlign w:val="superscript"/>
                    </w:rPr>
                    <w:t>-3</w:t>
                  </w:r>
                </w:p>
              </w:tc>
              <w:tc>
                <w:tcPr>
                  <w:tcW w:w="968" w:type="dxa"/>
                  <w:shd w:val="clear" w:color="auto" w:fill="auto"/>
                  <w:vAlign w:val="center"/>
                </w:tcPr>
                <w:p>
                  <w:pPr>
                    <w:widowControl/>
                    <w:ind w:left="-105" w:leftChars="-50" w:right="-105" w:rightChars="-50"/>
                    <w:jc w:val="center"/>
                    <w:rPr>
                      <w:sz w:val="18"/>
                      <w:szCs w:val="18"/>
                    </w:rPr>
                  </w:pPr>
                  <w:r>
                    <w:rPr>
                      <w:sz w:val="18"/>
                      <w:szCs w:val="18"/>
                    </w:rPr>
                    <w:t>＜</w:t>
                  </w:r>
                  <w:r>
                    <w:rPr>
                      <w:rFonts w:hint="eastAsia"/>
                      <w:sz w:val="18"/>
                      <w:szCs w:val="18"/>
                    </w:rPr>
                    <w:t>6.50</w:t>
                  </w:r>
                  <w:r>
                    <w:rPr>
                      <w:sz w:val="18"/>
                      <w:szCs w:val="18"/>
                    </w:rPr>
                    <w:t>×</w:t>
                  </w:r>
                  <w:r>
                    <w:rPr>
                      <w:rFonts w:hint="eastAsia"/>
                      <w:sz w:val="18"/>
                      <w:szCs w:val="18"/>
                    </w:rPr>
                    <w:t>10</w:t>
                  </w:r>
                  <w:r>
                    <w:rPr>
                      <w:rFonts w:hint="eastAsia"/>
                      <w:sz w:val="18"/>
                      <w:szCs w:val="18"/>
                      <w:vertAlign w:val="superscript"/>
                    </w:rPr>
                    <w:t>-3</w:t>
                  </w:r>
                </w:p>
              </w:tc>
              <w:tc>
                <w:tcPr>
                  <w:tcW w:w="1021" w:type="dxa"/>
                  <w:vAlign w:val="center"/>
                </w:tcPr>
                <w:p>
                  <w:pPr>
                    <w:widowControl/>
                    <w:ind w:left="-105" w:leftChars="-50" w:right="-105" w:rightChars="-50"/>
                    <w:jc w:val="center"/>
                    <w:rPr>
                      <w:sz w:val="18"/>
                      <w:szCs w:val="18"/>
                    </w:rPr>
                  </w:pPr>
                  <w:r>
                    <w:rPr>
                      <w:sz w:val="18"/>
                      <w:szCs w:val="18"/>
                    </w:rPr>
                    <w:t>＜</w:t>
                  </w:r>
                  <w:r>
                    <w:rPr>
                      <w:rFonts w:hint="eastAsia"/>
                      <w:sz w:val="18"/>
                      <w:szCs w:val="18"/>
                    </w:rPr>
                    <w:t>6.50</w:t>
                  </w:r>
                  <w:r>
                    <w:rPr>
                      <w:sz w:val="18"/>
                      <w:szCs w:val="18"/>
                    </w:rPr>
                    <w:t>×</w:t>
                  </w:r>
                  <w:r>
                    <w:rPr>
                      <w:rFonts w:hint="eastAsia"/>
                      <w:sz w:val="18"/>
                      <w:szCs w:val="18"/>
                    </w:rPr>
                    <w:t>10</w:t>
                  </w:r>
                  <w:r>
                    <w:rPr>
                      <w:rFonts w:hint="eastAsia"/>
                      <w:sz w:val="18"/>
                      <w:szCs w:val="18"/>
                      <w:vertAlign w:val="superscript"/>
                    </w:rPr>
                    <w:t>-3</w:t>
                  </w:r>
                </w:p>
              </w:tc>
              <w:tc>
                <w:tcPr>
                  <w:tcW w:w="611" w:type="dxa"/>
                  <w:vAlign w:val="center"/>
                </w:tcPr>
                <w:p>
                  <w:pPr>
                    <w:ind w:left="-42" w:leftChars="-20" w:right="-42" w:rightChars="-20"/>
                    <w:jc w:val="center"/>
                    <w:rPr>
                      <w:sz w:val="18"/>
                      <w:szCs w:val="18"/>
                    </w:rPr>
                  </w:pPr>
                  <w:r>
                    <w:rPr>
                      <w:rFonts w:hint="eastAsia"/>
                      <w:sz w:val="18"/>
                      <w:szCs w:val="18"/>
                    </w:rPr>
                    <w:t>1.8</w:t>
                  </w:r>
                </w:p>
              </w:tc>
              <w:tc>
                <w:tcPr>
                  <w:tcW w:w="708" w:type="dxa"/>
                  <w:vAlign w:val="center"/>
                </w:tcPr>
                <w:p>
                  <w:pPr>
                    <w:ind w:left="-42" w:leftChars="-20" w:right="-42" w:rightChars="-20"/>
                    <w:jc w:val="center"/>
                    <w:rPr>
                      <w:sz w:val="18"/>
                      <w:szCs w:val="18"/>
                    </w:rPr>
                  </w:pPr>
                  <w:r>
                    <w:rPr>
                      <w:rFonts w:hint="eastAsia"/>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071" w:type="dxa"/>
                  <w:gridSpan w:val="11"/>
                  <w:shd w:val="clear" w:color="auto" w:fill="auto"/>
                  <w:vAlign w:val="center"/>
                </w:tcPr>
                <w:p>
                  <w:pPr>
                    <w:ind w:left="-42" w:leftChars="-20" w:right="-42" w:rightChars="-20"/>
                    <w:rPr>
                      <w:sz w:val="18"/>
                      <w:szCs w:val="18"/>
                    </w:rPr>
                  </w:pPr>
                  <w:r>
                    <w:rPr>
                      <w:kern w:val="0"/>
                      <w:sz w:val="18"/>
                      <w:szCs w:val="18"/>
                    </w:rPr>
                    <w:t>备注：“ND”表示本次监测结果为“未检出”或低于方法检出限，具体检出限见第5.1章节。</w:t>
                  </w:r>
                </w:p>
              </w:tc>
            </w:tr>
          </w:tbl>
          <w:p>
            <w:pPr>
              <w:rPr>
                <w:rFonts w:eastAsiaTheme="minorEastAsia"/>
                <w:color w:val="000000"/>
                <w:sz w:val="18"/>
              </w:rPr>
            </w:pPr>
            <w:r>
              <w:rPr>
                <w:rFonts w:eastAsiaTheme="minorEastAsia"/>
                <w:color w:val="000000"/>
                <w:sz w:val="18"/>
              </w:rPr>
              <w:t>注：实验室废气排气筒出口处◎1#排气筒高度为28m，检测断面直径为0.48m×0.43m</w:t>
            </w:r>
            <w:r>
              <w:rPr>
                <w:rFonts w:hint="eastAsia" w:eastAsiaTheme="minorEastAsia"/>
                <w:color w:val="000000"/>
                <w:sz w:val="18"/>
              </w:rPr>
              <w:t>。</w:t>
            </w:r>
          </w:p>
          <w:p>
            <w:pPr>
              <w:pStyle w:val="27"/>
              <w:spacing w:line="360" w:lineRule="auto"/>
              <w:rPr>
                <w:sz w:val="24"/>
              </w:rPr>
            </w:pPr>
            <w:r>
              <w:rPr>
                <w:color w:val="000000" w:themeColor="text1"/>
                <w:sz w:val="24"/>
                <w14:textFill>
                  <w14:solidFill>
                    <w14:schemeClr w14:val="tx1"/>
                  </w14:solidFill>
                </w14:textFill>
              </w:rPr>
              <w:t>表7-1表明，</w:t>
            </w:r>
            <w:r>
              <w:rPr>
                <w:sz w:val="24"/>
              </w:rPr>
              <w:t>验收监测期间，项目实验室废气排气筒出口处◎1#有组织废气中</w:t>
            </w:r>
            <w:r>
              <w:rPr>
                <w:rFonts w:hint="eastAsia"/>
                <w:sz w:val="24"/>
              </w:rPr>
              <w:t xml:space="preserve"> VOCs（</w:t>
            </w:r>
            <w:r>
              <w:rPr>
                <w:rFonts w:hint="eastAsia"/>
                <w:sz w:val="24"/>
                <w:lang w:eastAsia="zh-CN"/>
              </w:rPr>
              <w:t>以</w:t>
            </w:r>
            <w:r>
              <w:rPr>
                <w:rFonts w:hint="eastAsia"/>
                <w:sz w:val="24"/>
              </w:rPr>
              <w:t>甲醇</w:t>
            </w:r>
            <w:r>
              <w:rPr>
                <w:rFonts w:hint="eastAsia"/>
                <w:sz w:val="24"/>
                <w:lang w:eastAsia="zh-CN"/>
              </w:rPr>
              <w:t>计</w:t>
            </w:r>
            <w:r>
              <w:rPr>
                <w:rFonts w:hint="eastAsia"/>
                <w:sz w:val="24"/>
              </w:rPr>
              <w:t>）排放浓度及排放速率</w:t>
            </w:r>
            <w:r>
              <w:rPr>
                <w:sz w:val="24"/>
              </w:rPr>
              <w:t>满足《厦门市大气污染物排放标准》（DB35/323-2018）表2其他行业标准要求限值。</w:t>
            </w: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7.2.2废水监测结果及分析</w:t>
            </w:r>
          </w:p>
          <w:p>
            <w:pPr>
              <w:pStyle w:val="23"/>
              <w:spacing w:after="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废水监测结果统计见表7-</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w:t>
            </w:r>
          </w:p>
          <w:p>
            <w:pPr>
              <w:pStyle w:val="23"/>
              <w:spacing w:after="0" w:line="360" w:lineRule="auto"/>
              <w:jc w:val="center"/>
              <w:rPr>
                <w:color w:val="000000" w:themeColor="text1"/>
                <w:sz w:val="24"/>
                <w14:textFill>
                  <w14:solidFill>
                    <w14:schemeClr w14:val="tx1"/>
                  </w14:solidFill>
                </w14:textFill>
              </w:rPr>
            </w:pPr>
            <w:r>
              <w:rPr>
                <w:rFonts w:eastAsia="黑体"/>
                <w:bCs/>
                <w:color w:val="000000" w:themeColor="text1"/>
                <w:szCs w:val="21"/>
                <w14:textFill>
                  <w14:solidFill>
                    <w14:schemeClr w14:val="tx1"/>
                  </w14:solidFill>
                </w14:textFill>
              </w:rPr>
              <w:t>表7-</w:t>
            </w:r>
            <w:r>
              <w:rPr>
                <w:rFonts w:hint="eastAsia" w:eastAsia="黑体"/>
                <w:bCs/>
                <w:color w:val="000000" w:themeColor="text1"/>
                <w:szCs w:val="21"/>
                <w14:textFill>
                  <w14:solidFill>
                    <w14:schemeClr w14:val="tx1"/>
                  </w14:solidFill>
                </w14:textFill>
              </w:rPr>
              <w:t>2</w:t>
            </w:r>
            <w:r>
              <w:rPr>
                <w:rFonts w:eastAsia="黑体"/>
                <w:bCs/>
                <w:color w:val="000000" w:themeColor="text1"/>
                <w:szCs w:val="21"/>
                <w14:textFill>
                  <w14:solidFill>
                    <w14:schemeClr w14:val="tx1"/>
                  </w14:solidFill>
                </w14:textFill>
              </w:rPr>
              <w:t>项目废水监测结果</w:t>
            </w:r>
          </w:p>
          <w:tbl>
            <w:tblPr>
              <w:tblStyle w:val="29"/>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980"/>
              <w:gridCol w:w="1329"/>
              <w:gridCol w:w="671"/>
              <w:gridCol w:w="750"/>
              <w:gridCol w:w="716"/>
              <w:gridCol w:w="750"/>
              <w:gridCol w:w="738"/>
              <w:gridCol w:w="1012"/>
              <w:gridCol w:w="647"/>
              <w:gridCol w:w="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70" w:type="dxa"/>
                  <w:vMerge w:val="restart"/>
                  <w:tcBorders>
                    <w:top w:val="single" w:color="auto" w:sz="12" w:space="0"/>
                    <w:bottom w:val="single" w:color="auto" w:sz="4" w:space="0"/>
                  </w:tcBorders>
                  <w:shd w:val="clear" w:color="auto" w:fill="auto"/>
                  <w:vAlign w:val="center"/>
                </w:tcPr>
                <w:p>
                  <w:pPr>
                    <w:ind w:left="-105" w:leftChars="-50" w:right="-105" w:rightChars="-50"/>
                    <w:jc w:val="center"/>
                    <w:rPr>
                      <w:b/>
                      <w:color w:val="000000"/>
                      <w:sz w:val="18"/>
                      <w:szCs w:val="18"/>
                    </w:rPr>
                  </w:pPr>
                  <w:r>
                    <w:rPr>
                      <w:b/>
                      <w:color w:val="000000"/>
                      <w:sz w:val="18"/>
                      <w:szCs w:val="18"/>
                    </w:rPr>
                    <w:t>监测日期</w:t>
                  </w:r>
                </w:p>
              </w:tc>
              <w:tc>
                <w:tcPr>
                  <w:tcW w:w="980" w:type="dxa"/>
                  <w:vMerge w:val="restart"/>
                  <w:tcBorders>
                    <w:top w:val="single" w:color="auto" w:sz="12" w:space="0"/>
                    <w:bottom w:val="single" w:color="auto" w:sz="4" w:space="0"/>
                  </w:tcBorders>
                  <w:shd w:val="clear" w:color="auto" w:fill="auto"/>
                  <w:vAlign w:val="center"/>
                </w:tcPr>
                <w:p>
                  <w:pPr>
                    <w:ind w:left="-105" w:leftChars="-50" w:right="-105" w:rightChars="-50"/>
                    <w:jc w:val="center"/>
                    <w:rPr>
                      <w:b/>
                      <w:color w:val="000000"/>
                      <w:sz w:val="18"/>
                      <w:szCs w:val="18"/>
                    </w:rPr>
                  </w:pPr>
                  <w:r>
                    <w:rPr>
                      <w:b/>
                      <w:color w:val="000000"/>
                      <w:sz w:val="18"/>
                      <w:szCs w:val="18"/>
                    </w:rPr>
                    <w:t>监测点位</w:t>
                  </w:r>
                </w:p>
              </w:tc>
              <w:tc>
                <w:tcPr>
                  <w:tcW w:w="1329" w:type="dxa"/>
                  <w:vMerge w:val="restart"/>
                  <w:tcBorders>
                    <w:top w:val="single" w:color="auto" w:sz="12" w:space="0"/>
                    <w:bottom w:val="single" w:color="auto" w:sz="4" w:space="0"/>
                  </w:tcBorders>
                  <w:shd w:val="clear" w:color="auto" w:fill="auto"/>
                  <w:vAlign w:val="center"/>
                </w:tcPr>
                <w:p>
                  <w:pPr>
                    <w:ind w:left="-105" w:leftChars="-50" w:right="-105" w:rightChars="-50"/>
                    <w:jc w:val="center"/>
                    <w:rPr>
                      <w:b/>
                      <w:color w:val="000000"/>
                      <w:sz w:val="18"/>
                      <w:szCs w:val="18"/>
                    </w:rPr>
                  </w:pPr>
                  <w:r>
                    <w:rPr>
                      <w:b/>
                      <w:color w:val="000000"/>
                      <w:sz w:val="18"/>
                      <w:szCs w:val="18"/>
                    </w:rPr>
                    <w:t>监测项目</w:t>
                  </w:r>
                </w:p>
              </w:tc>
              <w:tc>
                <w:tcPr>
                  <w:tcW w:w="671" w:type="dxa"/>
                  <w:vMerge w:val="restart"/>
                  <w:tcBorders>
                    <w:top w:val="single" w:color="auto" w:sz="12" w:space="0"/>
                    <w:bottom w:val="single" w:color="auto" w:sz="4" w:space="0"/>
                  </w:tcBorders>
                  <w:shd w:val="clear" w:color="auto" w:fill="auto"/>
                  <w:vAlign w:val="center"/>
                </w:tcPr>
                <w:p>
                  <w:pPr>
                    <w:ind w:left="-105" w:leftChars="-50" w:right="-105" w:rightChars="-50"/>
                    <w:jc w:val="center"/>
                    <w:rPr>
                      <w:b/>
                      <w:color w:val="000000"/>
                      <w:sz w:val="18"/>
                      <w:szCs w:val="18"/>
                    </w:rPr>
                  </w:pPr>
                  <w:r>
                    <w:rPr>
                      <w:b/>
                      <w:color w:val="000000"/>
                      <w:sz w:val="18"/>
                      <w:szCs w:val="18"/>
                    </w:rPr>
                    <w:t>单位</w:t>
                  </w:r>
                </w:p>
              </w:tc>
              <w:tc>
                <w:tcPr>
                  <w:tcW w:w="3966" w:type="dxa"/>
                  <w:gridSpan w:val="5"/>
                  <w:tcBorders>
                    <w:top w:val="single" w:color="auto" w:sz="12" w:space="0"/>
                    <w:bottom w:val="single" w:color="auto" w:sz="4" w:space="0"/>
                  </w:tcBorders>
                  <w:shd w:val="clear" w:color="auto" w:fill="auto"/>
                  <w:vAlign w:val="center"/>
                </w:tcPr>
                <w:p>
                  <w:pPr>
                    <w:ind w:left="-105" w:leftChars="-50" w:right="-105" w:rightChars="-50"/>
                    <w:jc w:val="center"/>
                    <w:rPr>
                      <w:b/>
                      <w:color w:val="000000"/>
                      <w:sz w:val="18"/>
                      <w:szCs w:val="18"/>
                    </w:rPr>
                  </w:pPr>
                  <w:r>
                    <w:rPr>
                      <w:b/>
                      <w:color w:val="000000"/>
                      <w:sz w:val="18"/>
                      <w:szCs w:val="18"/>
                    </w:rPr>
                    <w:t>监测结果</w:t>
                  </w:r>
                </w:p>
              </w:tc>
              <w:tc>
                <w:tcPr>
                  <w:tcW w:w="647" w:type="dxa"/>
                  <w:vMerge w:val="restart"/>
                  <w:tcBorders>
                    <w:top w:val="single" w:color="auto" w:sz="12" w:space="0"/>
                    <w:bottom w:val="single" w:color="auto" w:sz="4" w:space="0"/>
                  </w:tcBorders>
                  <w:shd w:val="clear" w:color="auto" w:fill="auto"/>
                  <w:vAlign w:val="center"/>
                </w:tcPr>
                <w:p>
                  <w:pPr>
                    <w:ind w:left="-105" w:leftChars="-50" w:right="-105" w:rightChars="-50"/>
                    <w:jc w:val="center"/>
                    <w:rPr>
                      <w:b/>
                      <w:color w:val="000000"/>
                      <w:sz w:val="18"/>
                      <w:szCs w:val="18"/>
                    </w:rPr>
                  </w:pPr>
                  <w:r>
                    <w:rPr>
                      <w:b/>
                      <w:color w:val="000000"/>
                      <w:sz w:val="18"/>
                      <w:szCs w:val="18"/>
                    </w:rPr>
                    <w:t>标准</w:t>
                  </w:r>
                </w:p>
                <w:p>
                  <w:pPr>
                    <w:ind w:left="-105" w:leftChars="-50" w:right="-105" w:rightChars="-50"/>
                    <w:jc w:val="center"/>
                    <w:rPr>
                      <w:b/>
                      <w:color w:val="000000"/>
                      <w:sz w:val="18"/>
                      <w:szCs w:val="18"/>
                    </w:rPr>
                  </w:pPr>
                  <w:r>
                    <w:rPr>
                      <w:b/>
                      <w:color w:val="000000"/>
                      <w:sz w:val="18"/>
                      <w:szCs w:val="18"/>
                    </w:rPr>
                    <w:t>限值</w:t>
                  </w:r>
                </w:p>
              </w:tc>
              <w:tc>
                <w:tcPr>
                  <w:tcW w:w="608" w:type="dxa"/>
                  <w:vMerge w:val="restart"/>
                  <w:tcBorders>
                    <w:top w:val="single" w:color="auto" w:sz="12" w:space="0"/>
                    <w:bottom w:val="single" w:color="auto" w:sz="4" w:space="0"/>
                  </w:tcBorders>
                  <w:shd w:val="clear" w:color="auto" w:fill="auto"/>
                  <w:vAlign w:val="center"/>
                </w:tcPr>
                <w:p>
                  <w:pPr>
                    <w:pStyle w:val="57"/>
                    <w:ind w:left="-42" w:leftChars="-20" w:right="-42" w:rightChars="-20" w:firstLine="0" w:firstLineChars="0"/>
                    <w:jc w:val="center"/>
                    <w:rPr>
                      <w:b/>
                      <w:sz w:val="18"/>
                      <w:szCs w:val="18"/>
                    </w:rPr>
                  </w:pPr>
                  <w:r>
                    <w:rPr>
                      <w:b/>
                      <w:sz w:val="18"/>
                      <w:szCs w:val="18"/>
                    </w:rPr>
                    <w:t>达标</w:t>
                  </w:r>
                </w:p>
                <w:p>
                  <w:pPr>
                    <w:ind w:left="-105" w:leftChars="-50" w:right="-105" w:rightChars="-50"/>
                    <w:jc w:val="center"/>
                    <w:rPr>
                      <w:b/>
                      <w:color w:val="000000"/>
                      <w:sz w:val="18"/>
                      <w:szCs w:val="18"/>
                    </w:rPr>
                  </w:pPr>
                  <w:r>
                    <w:rPr>
                      <w:b/>
                      <w:sz w:val="18"/>
                      <w:szCs w:val="18"/>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870" w:type="dxa"/>
                  <w:vMerge w:val="continue"/>
                  <w:tcBorders>
                    <w:top w:val="single" w:color="auto" w:sz="4" w:space="0"/>
                    <w:bottom w:val="single" w:color="auto" w:sz="12" w:space="0"/>
                  </w:tcBorders>
                  <w:shd w:val="clear" w:color="auto" w:fill="auto"/>
                  <w:vAlign w:val="center"/>
                </w:tcPr>
                <w:p>
                  <w:pPr>
                    <w:ind w:left="-105" w:leftChars="-50" w:right="-105" w:rightChars="-50"/>
                    <w:jc w:val="center"/>
                    <w:rPr>
                      <w:b/>
                      <w:color w:val="000000"/>
                      <w:sz w:val="18"/>
                      <w:szCs w:val="18"/>
                    </w:rPr>
                  </w:pPr>
                </w:p>
              </w:tc>
              <w:tc>
                <w:tcPr>
                  <w:tcW w:w="980" w:type="dxa"/>
                  <w:vMerge w:val="continue"/>
                  <w:tcBorders>
                    <w:top w:val="single" w:color="auto" w:sz="4" w:space="0"/>
                    <w:bottom w:val="single" w:color="auto" w:sz="12" w:space="0"/>
                  </w:tcBorders>
                  <w:shd w:val="clear" w:color="auto" w:fill="auto"/>
                  <w:vAlign w:val="center"/>
                </w:tcPr>
                <w:p>
                  <w:pPr>
                    <w:ind w:left="-105" w:leftChars="-50" w:right="-105" w:rightChars="-50"/>
                    <w:jc w:val="center"/>
                    <w:rPr>
                      <w:b/>
                      <w:color w:val="000000"/>
                      <w:sz w:val="18"/>
                      <w:szCs w:val="18"/>
                    </w:rPr>
                  </w:pPr>
                </w:p>
              </w:tc>
              <w:tc>
                <w:tcPr>
                  <w:tcW w:w="1329" w:type="dxa"/>
                  <w:vMerge w:val="continue"/>
                  <w:tcBorders>
                    <w:top w:val="single" w:color="auto" w:sz="4" w:space="0"/>
                    <w:bottom w:val="single" w:color="auto" w:sz="12" w:space="0"/>
                  </w:tcBorders>
                  <w:shd w:val="clear" w:color="auto" w:fill="auto"/>
                  <w:vAlign w:val="center"/>
                </w:tcPr>
                <w:p>
                  <w:pPr>
                    <w:ind w:left="-105" w:leftChars="-50" w:right="-105" w:rightChars="-50"/>
                    <w:jc w:val="center"/>
                    <w:rPr>
                      <w:b/>
                      <w:color w:val="000000"/>
                      <w:sz w:val="18"/>
                      <w:szCs w:val="18"/>
                    </w:rPr>
                  </w:pPr>
                </w:p>
              </w:tc>
              <w:tc>
                <w:tcPr>
                  <w:tcW w:w="671" w:type="dxa"/>
                  <w:vMerge w:val="continue"/>
                  <w:tcBorders>
                    <w:top w:val="single" w:color="auto" w:sz="4" w:space="0"/>
                    <w:bottom w:val="single" w:color="auto" w:sz="12" w:space="0"/>
                  </w:tcBorders>
                  <w:shd w:val="clear" w:color="auto" w:fill="auto"/>
                  <w:vAlign w:val="center"/>
                </w:tcPr>
                <w:p>
                  <w:pPr>
                    <w:ind w:left="-105" w:leftChars="-50" w:right="-105" w:rightChars="-50"/>
                    <w:jc w:val="center"/>
                    <w:rPr>
                      <w:b/>
                      <w:color w:val="000000"/>
                      <w:sz w:val="18"/>
                      <w:szCs w:val="18"/>
                    </w:rPr>
                  </w:pPr>
                </w:p>
              </w:tc>
              <w:tc>
                <w:tcPr>
                  <w:tcW w:w="750" w:type="dxa"/>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r>
                    <w:rPr>
                      <w:b/>
                      <w:sz w:val="18"/>
                      <w:szCs w:val="18"/>
                    </w:rPr>
                    <w:t>第1次</w:t>
                  </w:r>
                </w:p>
              </w:tc>
              <w:tc>
                <w:tcPr>
                  <w:tcW w:w="716" w:type="dxa"/>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r>
                    <w:rPr>
                      <w:b/>
                      <w:sz w:val="18"/>
                      <w:szCs w:val="18"/>
                    </w:rPr>
                    <w:t>第2次</w:t>
                  </w:r>
                </w:p>
              </w:tc>
              <w:tc>
                <w:tcPr>
                  <w:tcW w:w="750" w:type="dxa"/>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r>
                    <w:rPr>
                      <w:b/>
                      <w:sz w:val="18"/>
                      <w:szCs w:val="18"/>
                    </w:rPr>
                    <w:t>第3次</w:t>
                  </w:r>
                </w:p>
              </w:tc>
              <w:tc>
                <w:tcPr>
                  <w:tcW w:w="738" w:type="dxa"/>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r>
                    <w:rPr>
                      <w:b/>
                      <w:sz w:val="18"/>
                      <w:szCs w:val="18"/>
                    </w:rPr>
                    <w:t>第4次</w:t>
                  </w:r>
                </w:p>
              </w:tc>
              <w:tc>
                <w:tcPr>
                  <w:tcW w:w="1012" w:type="dxa"/>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r>
                    <w:rPr>
                      <w:b/>
                      <w:sz w:val="18"/>
                      <w:szCs w:val="18"/>
                    </w:rPr>
                    <w:t>均值或范围</w:t>
                  </w:r>
                </w:p>
              </w:tc>
              <w:tc>
                <w:tcPr>
                  <w:tcW w:w="647" w:type="dxa"/>
                  <w:vMerge w:val="continue"/>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p>
              </w:tc>
              <w:tc>
                <w:tcPr>
                  <w:tcW w:w="608" w:type="dxa"/>
                  <w:vMerge w:val="continue"/>
                  <w:tcBorders>
                    <w:top w:val="single" w:color="auto" w:sz="4" w:space="0"/>
                    <w:bottom w:val="single" w:color="auto" w:sz="12" w:space="0"/>
                  </w:tcBorders>
                  <w:shd w:val="clear" w:color="auto" w:fill="auto"/>
                  <w:vAlign w:val="center"/>
                </w:tcPr>
                <w:p>
                  <w:pPr>
                    <w:ind w:left="-105" w:leftChars="-50" w:right="-105" w:rightChars="-50"/>
                    <w:jc w:val="center"/>
                    <w:rPr>
                      <w:b/>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restart"/>
                  <w:tcBorders>
                    <w:top w:val="single" w:color="auto" w:sz="12" w:space="0"/>
                  </w:tcBorders>
                  <w:shd w:val="clear" w:color="auto" w:fill="auto"/>
                  <w:vAlign w:val="center"/>
                </w:tcPr>
                <w:p>
                  <w:pPr>
                    <w:widowControl/>
                    <w:spacing w:before="31" w:after="31"/>
                    <w:ind w:left="-105" w:leftChars="-50" w:right="-105" w:rightChars="-50"/>
                    <w:jc w:val="center"/>
                    <w:textAlignment w:val="baseline"/>
                    <w:rPr>
                      <w:bCs/>
                      <w:kern w:val="0"/>
                      <w:sz w:val="18"/>
                      <w:szCs w:val="18"/>
                      <w:u w:color="000000"/>
                    </w:rPr>
                  </w:pPr>
                  <w:r>
                    <w:rPr>
                      <w:sz w:val="18"/>
                      <w:szCs w:val="18"/>
                    </w:rPr>
                    <w:t>202</w:t>
                  </w:r>
                  <w:r>
                    <w:rPr>
                      <w:rFonts w:hint="eastAsia"/>
                      <w:sz w:val="18"/>
                      <w:szCs w:val="18"/>
                    </w:rPr>
                    <w:t>2</w:t>
                  </w:r>
                  <w:r>
                    <w:rPr>
                      <w:sz w:val="18"/>
                      <w:szCs w:val="18"/>
                    </w:rPr>
                    <w:t>/</w:t>
                  </w:r>
                  <w:r>
                    <w:rPr>
                      <w:rFonts w:hint="eastAsia"/>
                      <w:sz w:val="18"/>
                      <w:szCs w:val="18"/>
                    </w:rPr>
                    <w:t>3</w:t>
                  </w:r>
                  <w:r>
                    <w:rPr>
                      <w:sz w:val="18"/>
                      <w:szCs w:val="18"/>
                    </w:rPr>
                    <w:t>/</w:t>
                  </w:r>
                  <w:r>
                    <w:rPr>
                      <w:rFonts w:hint="eastAsia"/>
                      <w:sz w:val="18"/>
                      <w:szCs w:val="18"/>
                    </w:rPr>
                    <w:t>9</w:t>
                  </w:r>
                </w:p>
              </w:tc>
              <w:tc>
                <w:tcPr>
                  <w:tcW w:w="980" w:type="dxa"/>
                  <w:vMerge w:val="restart"/>
                  <w:tcBorders>
                    <w:top w:val="single" w:color="auto" w:sz="12" w:space="0"/>
                  </w:tcBorders>
                  <w:shd w:val="clear" w:color="auto" w:fill="auto"/>
                  <w:vAlign w:val="center"/>
                </w:tcPr>
                <w:p>
                  <w:pPr>
                    <w:widowControl/>
                    <w:spacing w:before="31" w:after="31"/>
                    <w:ind w:left="-105" w:leftChars="-50" w:right="-105" w:rightChars="-50"/>
                    <w:jc w:val="center"/>
                    <w:textAlignment w:val="baseline"/>
                    <w:rPr>
                      <w:color w:val="000000"/>
                      <w:kern w:val="0"/>
                      <w:sz w:val="18"/>
                      <w:szCs w:val="18"/>
                    </w:rPr>
                  </w:pPr>
                  <w:r>
                    <w:rPr>
                      <w:rFonts w:hint="eastAsia"/>
                      <w:color w:val="000000"/>
                      <w:kern w:val="0"/>
                      <w:sz w:val="18"/>
                      <w:szCs w:val="18"/>
                    </w:rPr>
                    <w:t>项目</w:t>
                  </w:r>
                  <w:r>
                    <w:rPr>
                      <w:color w:val="000000"/>
                      <w:kern w:val="0"/>
                      <w:sz w:val="18"/>
                      <w:szCs w:val="18"/>
                    </w:rPr>
                    <w:t>废水排放口★1#</w:t>
                  </w:r>
                </w:p>
              </w:tc>
              <w:tc>
                <w:tcPr>
                  <w:tcW w:w="1329" w:type="dxa"/>
                  <w:tcBorders>
                    <w:top w:val="single" w:color="auto" w:sz="12" w:space="0"/>
                  </w:tcBorders>
                  <w:shd w:val="clear" w:color="auto" w:fill="auto"/>
                  <w:vAlign w:val="center"/>
                </w:tcPr>
                <w:p>
                  <w:pPr>
                    <w:widowControl/>
                    <w:spacing w:before="31" w:after="31"/>
                    <w:jc w:val="center"/>
                    <w:textAlignment w:val="baseline"/>
                    <w:rPr>
                      <w:bCs/>
                      <w:kern w:val="0"/>
                      <w:sz w:val="18"/>
                      <w:szCs w:val="18"/>
                      <w:u w:color="000000"/>
                    </w:rPr>
                  </w:pPr>
                  <w:r>
                    <w:rPr>
                      <w:bCs/>
                      <w:kern w:val="0"/>
                      <w:sz w:val="18"/>
                      <w:szCs w:val="18"/>
                      <w:u w:color="000000"/>
                    </w:rPr>
                    <w:t>pH值</w:t>
                  </w:r>
                </w:p>
              </w:tc>
              <w:tc>
                <w:tcPr>
                  <w:tcW w:w="671" w:type="dxa"/>
                  <w:tcBorders>
                    <w:top w:val="single" w:color="auto" w:sz="12" w:space="0"/>
                  </w:tcBorders>
                  <w:shd w:val="clear" w:color="auto" w:fill="auto"/>
                  <w:vAlign w:val="center"/>
                </w:tcPr>
                <w:p>
                  <w:pPr>
                    <w:ind w:left="-105" w:leftChars="-50" w:right="-105" w:rightChars="-50"/>
                    <w:jc w:val="center"/>
                    <w:rPr>
                      <w:color w:val="000000"/>
                      <w:sz w:val="18"/>
                      <w:szCs w:val="18"/>
                    </w:rPr>
                  </w:pPr>
                  <w:r>
                    <w:rPr>
                      <w:color w:val="000000"/>
                      <w:sz w:val="18"/>
                      <w:szCs w:val="18"/>
                    </w:rPr>
                    <w:t>无量纲</w:t>
                  </w:r>
                </w:p>
              </w:tc>
              <w:tc>
                <w:tcPr>
                  <w:tcW w:w="750" w:type="dxa"/>
                  <w:tcBorders>
                    <w:top w:val="single" w:color="auto" w:sz="12" w:space="0"/>
                  </w:tcBorders>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7.9</w:t>
                  </w:r>
                </w:p>
              </w:tc>
              <w:tc>
                <w:tcPr>
                  <w:tcW w:w="716" w:type="dxa"/>
                  <w:tcBorders>
                    <w:top w:val="single" w:color="auto" w:sz="12" w:space="0"/>
                  </w:tcBorders>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50" w:type="dxa"/>
                  <w:tcBorders>
                    <w:top w:val="single" w:color="auto" w:sz="12" w:space="0"/>
                  </w:tcBorders>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38" w:type="dxa"/>
                  <w:tcBorders>
                    <w:top w:val="single" w:color="auto" w:sz="12" w:space="0"/>
                  </w:tcBorders>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7.9</w:t>
                  </w:r>
                </w:p>
              </w:tc>
              <w:tc>
                <w:tcPr>
                  <w:tcW w:w="1012" w:type="dxa"/>
                  <w:tcBorders>
                    <w:top w:val="single" w:color="auto" w:sz="12" w:space="0"/>
                  </w:tcBorders>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7.8~7.9</w:t>
                  </w:r>
                </w:p>
              </w:tc>
              <w:tc>
                <w:tcPr>
                  <w:tcW w:w="647" w:type="dxa"/>
                  <w:tcBorders>
                    <w:top w:val="single" w:color="auto" w:sz="12" w:space="0"/>
                  </w:tcBorders>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6~9</w:t>
                  </w:r>
                </w:p>
              </w:tc>
              <w:tc>
                <w:tcPr>
                  <w:tcW w:w="608" w:type="dxa"/>
                  <w:tcBorders>
                    <w:top w:val="single" w:color="auto" w:sz="12" w:space="0"/>
                  </w:tcBorders>
                  <w:shd w:val="clear" w:color="auto" w:fill="auto"/>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shd w:val="clear" w:color="auto" w:fill="auto"/>
                  <w:vAlign w:val="center"/>
                </w:tcPr>
                <w:p>
                  <w:pPr>
                    <w:widowControl/>
                    <w:spacing w:before="31" w:after="31"/>
                    <w:ind w:left="-105" w:leftChars="-50" w:right="-105" w:rightChars="-50"/>
                    <w:jc w:val="center"/>
                    <w:textAlignment w:val="baseline"/>
                    <w:rPr>
                      <w:bCs/>
                      <w:kern w:val="0"/>
                      <w:sz w:val="18"/>
                      <w:szCs w:val="18"/>
                      <w:u w:color="000000"/>
                    </w:rPr>
                  </w:pPr>
                </w:p>
              </w:tc>
              <w:tc>
                <w:tcPr>
                  <w:tcW w:w="980" w:type="dxa"/>
                  <w:vMerge w:val="continue"/>
                  <w:shd w:val="clear" w:color="auto" w:fill="auto"/>
                  <w:vAlign w:val="center"/>
                </w:tcPr>
                <w:p>
                  <w:pPr>
                    <w:widowControl/>
                    <w:spacing w:before="31" w:after="31"/>
                    <w:ind w:left="-105" w:leftChars="-50" w:right="-105" w:rightChars="-50"/>
                    <w:jc w:val="center"/>
                    <w:textAlignment w:val="baseline"/>
                    <w:rPr>
                      <w:bCs/>
                      <w:kern w:val="0"/>
                      <w:sz w:val="18"/>
                      <w:szCs w:val="18"/>
                      <w:u w:color="000000"/>
                    </w:rPr>
                  </w:pPr>
                </w:p>
              </w:tc>
              <w:tc>
                <w:tcPr>
                  <w:tcW w:w="1329" w:type="dxa"/>
                  <w:shd w:val="clear" w:color="auto" w:fill="auto"/>
                  <w:vAlign w:val="center"/>
                </w:tcPr>
                <w:p>
                  <w:pPr>
                    <w:widowControl/>
                    <w:spacing w:before="31" w:after="31"/>
                    <w:jc w:val="center"/>
                    <w:textAlignment w:val="baseline"/>
                    <w:rPr>
                      <w:bCs/>
                      <w:kern w:val="0"/>
                      <w:sz w:val="18"/>
                      <w:szCs w:val="18"/>
                      <w:u w:color="000000"/>
                    </w:rPr>
                  </w:pPr>
                  <w:r>
                    <w:rPr>
                      <w:bCs/>
                      <w:kern w:val="0"/>
                      <w:sz w:val="18"/>
                      <w:szCs w:val="18"/>
                      <w:u w:color="000000"/>
                    </w:rPr>
                    <w:t>悬浮物</w:t>
                  </w:r>
                </w:p>
              </w:tc>
              <w:tc>
                <w:tcPr>
                  <w:tcW w:w="671" w:type="dxa"/>
                  <w:shd w:val="clear" w:color="auto" w:fill="auto"/>
                  <w:vAlign w:val="center"/>
                </w:tcPr>
                <w:p>
                  <w:pPr>
                    <w:ind w:left="-105" w:leftChars="-50" w:right="-105" w:rightChars="-50"/>
                    <w:jc w:val="center"/>
                    <w:rPr>
                      <w:color w:val="000000"/>
                      <w:sz w:val="18"/>
                      <w:szCs w:val="18"/>
                    </w:rPr>
                  </w:pPr>
                  <w:r>
                    <w:rPr>
                      <w:color w:val="000000"/>
                      <w:sz w:val="18"/>
                      <w:szCs w:val="18"/>
                    </w:rPr>
                    <w:t>mg/L</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31</w:t>
                  </w:r>
                </w:p>
              </w:tc>
              <w:tc>
                <w:tcPr>
                  <w:tcW w:w="716"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33</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32</w:t>
                  </w:r>
                </w:p>
              </w:tc>
              <w:tc>
                <w:tcPr>
                  <w:tcW w:w="738"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39</w:t>
                  </w:r>
                </w:p>
              </w:tc>
              <w:tc>
                <w:tcPr>
                  <w:tcW w:w="1012"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34</w:t>
                  </w:r>
                </w:p>
              </w:tc>
              <w:tc>
                <w:tcPr>
                  <w:tcW w:w="647" w:type="dxa"/>
                  <w:shd w:val="clear" w:color="auto" w:fill="auto"/>
                  <w:vAlign w:val="center"/>
                </w:tcPr>
                <w:p>
                  <w:pPr>
                    <w:ind w:left="-105" w:leftChars="-50" w:right="-105" w:rightChars="-50"/>
                    <w:jc w:val="center"/>
                    <w:rPr>
                      <w:sz w:val="18"/>
                      <w:szCs w:val="18"/>
                    </w:rPr>
                  </w:pPr>
                  <w:r>
                    <w:rPr>
                      <w:rFonts w:hint="eastAsia"/>
                      <w:sz w:val="18"/>
                      <w:szCs w:val="18"/>
                    </w:rPr>
                    <w:t>200</w:t>
                  </w:r>
                </w:p>
              </w:tc>
              <w:tc>
                <w:tcPr>
                  <w:tcW w:w="608" w:type="dxa"/>
                  <w:shd w:val="clear" w:color="auto" w:fill="auto"/>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p>
              </w:tc>
              <w:tc>
                <w:tcPr>
                  <w:tcW w:w="980" w:type="dxa"/>
                  <w:vMerge w:val="continue"/>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p>
              </w:tc>
              <w:tc>
                <w:tcPr>
                  <w:tcW w:w="1329"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bCs/>
                      <w:color w:val="000000"/>
                      <w:sz w:val="18"/>
                      <w:szCs w:val="18"/>
                      <w:u w:color="000000"/>
                    </w:rPr>
                    <w:t>化学需氧量</w:t>
                  </w:r>
                </w:p>
              </w:tc>
              <w:tc>
                <w:tcPr>
                  <w:tcW w:w="671" w:type="dxa"/>
                  <w:shd w:val="clear" w:color="auto" w:fill="auto"/>
                  <w:vAlign w:val="center"/>
                </w:tcPr>
                <w:p>
                  <w:pPr>
                    <w:ind w:left="-105" w:leftChars="-50" w:right="-105" w:rightChars="-50"/>
                    <w:jc w:val="center"/>
                    <w:rPr>
                      <w:color w:val="000000"/>
                      <w:sz w:val="18"/>
                      <w:szCs w:val="18"/>
                    </w:rPr>
                  </w:pPr>
                  <w:r>
                    <w:rPr>
                      <w:color w:val="000000"/>
                      <w:sz w:val="18"/>
                      <w:szCs w:val="18"/>
                    </w:rPr>
                    <w:t>mg/L</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37</w:t>
                  </w:r>
                </w:p>
              </w:tc>
              <w:tc>
                <w:tcPr>
                  <w:tcW w:w="716"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32</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38</w:t>
                  </w:r>
                </w:p>
              </w:tc>
              <w:tc>
                <w:tcPr>
                  <w:tcW w:w="738"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31</w:t>
                  </w:r>
                </w:p>
              </w:tc>
              <w:tc>
                <w:tcPr>
                  <w:tcW w:w="1012"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34</w:t>
                  </w:r>
                </w:p>
              </w:tc>
              <w:tc>
                <w:tcPr>
                  <w:tcW w:w="647" w:type="dxa"/>
                  <w:shd w:val="clear" w:color="auto" w:fill="auto"/>
                  <w:vAlign w:val="center"/>
                </w:tcPr>
                <w:p>
                  <w:pPr>
                    <w:ind w:left="-105" w:leftChars="-50" w:right="-105" w:rightChars="-50"/>
                    <w:jc w:val="center"/>
                    <w:rPr>
                      <w:color w:val="000000"/>
                      <w:sz w:val="18"/>
                      <w:szCs w:val="18"/>
                    </w:rPr>
                  </w:pPr>
                  <w:r>
                    <w:rPr>
                      <w:rFonts w:hint="eastAsia"/>
                      <w:color w:val="000000"/>
                      <w:sz w:val="18"/>
                      <w:szCs w:val="18"/>
                    </w:rPr>
                    <w:t>474.47</w:t>
                  </w:r>
                </w:p>
              </w:tc>
              <w:tc>
                <w:tcPr>
                  <w:tcW w:w="608" w:type="dxa"/>
                  <w:shd w:val="clear" w:color="auto" w:fill="auto"/>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shd w:val="clear" w:color="auto" w:fill="auto"/>
                  <w:vAlign w:val="center"/>
                </w:tcPr>
                <w:p>
                  <w:pPr>
                    <w:widowControl/>
                    <w:spacing w:before="31" w:after="31"/>
                    <w:ind w:left="-105" w:leftChars="-50" w:right="-105" w:rightChars="-50"/>
                    <w:jc w:val="center"/>
                    <w:textAlignment w:val="baseline"/>
                    <w:rPr>
                      <w:bCs/>
                      <w:kern w:val="0"/>
                      <w:sz w:val="18"/>
                      <w:szCs w:val="18"/>
                      <w:u w:color="000000"/>
                    </w:rPr>
                  </w:pPr>
                </w:p>
              </w:tc>
              <w:tc>
                <w:tcPr>
                  <w:tcW w:w="980" w:type="dxa"/>
                  <w:vMerge w:val="continue"/>
                  <w:shd w:val="clear" w:color="auto" w:fill="auto"/>
                  <w:vAlign w:val="center"/>
                </w:tcPr>
                <w:p>
                  <w:pPr>
                    <w:widowControl/>
                    <w:spacing w:before="31" w:after="31"/>
                    <w:ind w:left="-105" w:leftChars="-50" w:right="-105" w:rightChars="-50"/>
                    <w:jc w:val="center"/>
                    <w:textAlignment w:val="baseline"/>
                    <w:rPr>
                      <w:bCs/>
                      <w:kern w:val="0"/>
                      <w:sz w:val="18"/>
                      <w:szCs w:val="18"/>
                      <w:u w:color="000000"/>
                    </w:rPr>
                  </w:pPr>
                </w:p>
              </w:tc>
              <w:tc>
                <w:tcPr>
                  <w:tcW w:w="1329" w:type="dxa"/>
                  <w:shd w:val="clear" w:color="auto" w:fill="auto"/>
                  <w:vAlign w:val="center"/>
                </w:tcPr>
                <w:p>
                  <w:pPr>
                    <w:widowControl/>
                    <w:spacing w:before="31" w:after="31"/>
                    <w:jc w:val="center"/>
                    <w:textAlignment w:val="baseline"/>
                    <w:rPr>
                      <w:bCs/>
                      <w:kern w:val="0"/>
                      <w:sz w:val="18"/>
                      <w:szCs w:val="18"/>
                      <w:u w:color="000000"/>
                    </w:rPr>
                  </w:pPr>
                  <w:r>
                    <w:rPr>
                      <w:bCs/>
                      <w:kern w:val="0"/>
                      <w:sz w:val="18"/>
                      <w:szCs w:val="18"/>
                      <w:u w:color="000000"/>
                    </w:rPr>
                    <w:t>氨氮</w:t>
                  </w:r>
                </w:p>
              </w:tc>
              <w:tc>
                <w:tcPr>
                  <w:tcW w:w="671" w:type="dxa"/>
                  <w:shd w:val="clear" w:color="auto" w:fill="auto"/>
                  <w:vAlign w:val="center"/>
                </w:tcPr>
                <w:p>
                  <w:pPr>
                    <w:ind w:left="-105" w:leftChars="-50" w:right="-105" w:rightChars="-50"/>
                    <w:jc w:val="center"/>
                    <w:rPr>
                      <w:color w:val="000000"/>
                      <w:sz w:val="18"/>
                      <w:szCs w:val="18"/>
                    </w:rPr>
                  </w:pPr>
                  <w:r>
                    <w:rPr>
                      <w:color w:val="000000"/>
                      <w:sz w:val="18"/>
                      <w:szCs w:val="18"/>
                    </w:rPr>
                    <w:t>mg/L</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0.201</w:t>
                  </w:r>
                </w:p>
              </w:tc>
              <w:tc>
                <w:tcPr>
                  <w:tcW w:w="716"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0.229</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0.246</w:t>
                  </w:r>
                </w:p>
              </w:tc>
              <w:tc>
                <w:tcPr>
                  <w:tcW w:w="738"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0.198</w:t>
                  </w:r>
                </w:p>
              </w:tc>
              <w:tc>
                <w:tcPr>
                  <w:tcW w:w="1012"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0.218</w:t>
                  </w:r>
                </w:p>
              </w:tc>
              <w:tc>
                <w:tcPr>
                  <w:tcW w:w="647" w:type="dxa"/>
                  <w:shd w:val="clear" w:color="auto" w:fill="auto"/>
                  <w:vAlign w:val="center"/>
                </w:tcPr>
                <w:p>
                  <w:pPr>
                    <w:ind w:left="-105" w:leftChars="-50" w:right="-105" w:rightChars="-50"/>
                    <w:jc w:val="center"/>
                    <w:rPr>
                      <w:color w:val="000000"/>
                      <w:sz w:val="18"/>
                      <w:szCs w:val="18"/>
                    </w:rPr>
                  </w:pPr>
                  <w:r>
                    <w:rPr>
                      <w:rFonts w:hint="eastAsia"/>
                      <w:color w:val="000000"/>
                      <w:sz w:val="18"/>
                      <w:szCs w:val="18"/>
                    </w:rPr>
                    <w:t>26</w:t>
                  </w:r>
                </w:p>
              </w:tc>
              <w:tc>
                <w:tcPr>
                  <w:tcW w:w="608" w:type="dxa"/>
                  <w:shd w:val="clear" w:color="auto" w:fill="auto"/>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shd w:val="clear" w:color="auto" w:fill="auto"/>
                  <w:vAlign w:val="center"/>
                </w:tcPr>
                <w:p>
                  <w:pPr>
                    <w:widowControl/>
                    <w:spacing w:before="31" w:after="31"/>
                    <w:ind w:left="-105" w:leftChars="-50" w:right="-105" w:rightChars="-50"/>
                    <w:jc w:val="center"/>
                    <w:textAlignment w:val="baseline"/>
                    <w:rPr>
                      <w:bCs/>
                      <w:kern w:val="0"/>
                      <w:sz w:val="18"/>
                      <w:szCs w:val="18"/>
                      <w:u w:color="000000"/>
                    </w:rPr>
                  </w:pPr>
                </w:p>
              </w:tc>
              <w:tc>
                <w:tcPr>
                  <w:tcW w:w="980" w:type="dxa"/>
                  <w:vMerge w:val="continue"/>
                  <w:shd w:val="clear" w:color="auto" w:fill="auto"/>
                  <w:vAlign w:val="center"/>
                </w:tcPr>
                <w:p>
                  <w:pPr>
                    <w:widowControl/>
                    <w:spacing w:before="31" w:after="31"/>
                    <w:ind w:left="-105" w:leftChars="-50" w:right="-105" w:rightChars="-50"/>
                    <w:jc w:val="center"/>
                    <w:textAlignment w:val="baseline"/>
                    <w:rPr>
                      <w:bCs/>
                      <w:kern w:val="0"/>
                      <w:sz w:val="18"/>
                      <w:szCs w:val="18"/>
                      <w:u w:color="000000"/>
                    </w:rPr>
                  </w:pPr>
                </w:p>
              </w:tc>
              <w:tc>
                <w:tcPr>
                  <w:tcW w:w="1329" w:type="dxa"/>
                  <w:shd w:val="clear" w:color="auto" w:fill="auto"/>
                  <w:vAlign w:val="center"/>
                </w:tcPr>
                <w:p>
                  <w:pPr>
                    <w:widowControl/>
                    <w:spacing w:before="31" w:after="31"/>
                    <w:ind w:left="-105" w:leftChars="-50" w:right="-105" w:rightChars="-50"/>
                    <w:jc w:val="center"/>
                    <w:textAlignment w:val="baseline"/>
                    <w:rPr>
                      <w:bCs/>
                      <w:kern w:val="0"/>
                      <w:sz w:val="18"/>
                      <w:szCs w:val="18"/>
                      <w:u w:color="000000"/>
                    </w:rPr>
                  </w:pPr>
                  <w:r>
                    <w:rPr>
                      <w:bCs/>
                      <w:kern w:val="0"/>
                      <w:sz w:val="18"/>
                      <w:szCs w:val="18"/>
                      <w:u w:color="000000"/>
                    </w:rPr>
                    <w:t>五日生化需氧量</w:t>
                  </w:r>
                </w:p>
              </w:tc>
              <w:tc>
                <w:tcPr>
                  <w:tcW w:w="671" w:type="dxa"/>
                  <w:shd w:val="clear" w:color="auto" w:fill="auto"/>
                  <w:vAlign w:val="center"/>
                </w:tcPr>
                <w:p>
                  <w:pPr>
                    <w:ind w:left="-105" w:leftChars="-50" w:right="-105" w:rightChars="-50"/>
                    <w:jc w:val="center"/>
                    <w:rPr>
                      <w:color w:val="000000"/>
                      <w:sz w:val="18"/>
                      <w:szCs w:val="18"/>
                    </w:rPr>
                  </w:pPr>
                  <w:r>
                    <w:rPr>
                      <w:color w:val="000000"/>
                      <w:sz w:val="18"/>
                      <w:szCs w:val="18"/>
                    </w:rPr>
                    <w:t>mg/L</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13.2</w:t>
                  </w:r>
                </w:p>
              </w:tc>
              <w:tc>
                <w:tcPr>
                  <w:tcW w:w="716"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11.2</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13.7</w:t>
                  </w:r>
                </w:p>
              </w:tc>
              <w:tc>
                <w:tcPr>
                  <w:tcW w:w="738"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10.7</w:t>
                  </w:r>
                </w:p>
              </w:tc>
              <w:tc>
                <w:tcPr>
                  <w:tcW w:w="1012"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12.2</w:t>
                  </w:r>
                </w:p>
              </w:tc>
              <w:tc>
                <w:tcPr>
                  <w:tcW w:w="647" w:type="dxa"/>
                  <w:shd w:val="clear" w:color="auto" w:fill="auto"/>
                  <w:vAlign w:val="center"/>
                </w:tcPr>
                <w:p>
                  <w:pPr>
                    <w:ind w:left="-105" w:leftChars="-50" w:right="-105" w:rightChars="-50"/>
                    <w:jc w:val="center"/>
                    <w:rPr>
                      <w:sz w:val="18"/>
                      <w:szCs w:val="18"/>
                    </w:rPr>
                  </w:pPr>
                  <w:r>
                    <w:rPr>
                      <w:rFonts w:hint="eastAsia"/>
                      <w:sz w:val="18"/>
                      <w:szCs w:val="18"/>
                    </w:rPr>
                    <w:t>218.62</w:t>
                  </w:r>
                </w:p>
              </w:tc>
              <w:tc>
                <w:tcPr>
                  <w:tcW w:w="608" w:type="dxa"/>
                  <w:shd w:val="clear" w:color="auto" w:fill="auto"/>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shd w:val="clear" w:color="auto" w:fill="auto"/>
                  <w:vAlign w:val="center"/>
                </w:tcPr>
                <w:p>
                  <w:pPr>
                    <w:widowControl/>
                    <w:spacing w:before="31" w:after="31"/>
                    <w:ind w:left="-105" w:leftChars="-50" w:right="-105" w:rightChars="-50"/>
                    <w:jc w:val="center"/>
                    <w:textAlignment w:val="baseline"/>
                    <w:rPr>
                      <w:bCs/>
                      <w:sz w:val="18"/>
                      <w:szCs w:val="18"/>
                      <w:u w:color="000000"/>
                    </w:rPr>
                  </w:pPr>
                </w:p>
              </w:tc>
              <w:tc>
                <w:tcPr>
                  <w:tcW w:w="980" w:type="dxa"/>
                  <w:vMerge w:val="restart"/>
                  <w:shd w:val="clear" w:color="auto" w:fill="auto"/>
                  <w:vAlign w:val="center"/>
                </w:tcPr>
                <w:p>
                  <w:pPr>
                    <w:widowControl/>
                    <w:spacing w:before="31" w:after="31"/>
                    <w:ind w:left="-105" w:leftChars="-50" w:right="-105" w:rightChars="-50"/>
                    <w:jc w:val="center"/>
                    <w:textAlignment w:val="baseline"/>
                    <w:rPr>
                      <w:bCs/>
                      <w:sz w:val="18"/>
                      <w:szCs w:val="18"/>
                      <w:u w:color="000000"/>
                    </w:rPr>
                  </w:pPr>
                  <w:r>
                    <w:rPr>
                      <w:bCs/>
                      <w:sz w:val="18"/>
                      <w:szCs w:val="18"/>
                      <w:u w:color="000000"/>
                    </w:rPr>
                    <w:t>园区污水总排口★2#</w:t>
                  </w:r>
                </w:p>
              </w:tc>
              <w:tc>
                <w:tcPr>
                  <w:tcW w:w="1329" w:type="dxa"/>
                  <w:shd w:val="clear" w:color="auto" w:fill="auto"/>
                  <w:vAlign w:val="center"/>
                </w:tcPr>
                <w:p>
                  <w:pPr>
                    <w:widowControl/>
                    <w:spacing w:before="31" w:after="31"/>
                    <w:jc w:val="center"/>
                    <w:textAlignment w:val="baseline"/>
                    <w:rPr>
                      <w:bCs/>
                      <w:kern w:val="0"/>
                      <w:sz w:val="18"/>
                      <w:szCs w:val="18"/>
                      <w:u w:color="000000"/>
                    </w:rPr>
                  </w:pPr>
                  <w:r>
                    <w:rPr>
                      <w:bCs/>
                      <w:kern w:val="0"/>
                      <w:sz w:val="18"/>
                      <w:szCs w:val="18"/>
                      <w:u w:color="000000"/>
                    </w:rPr>
                    <w:t>pH值</w:t>
                  </w:r>
                </w:p>
              </w:tc>
              <w:tc>
                <w:tcPr>
                  <w:tcW w:w="671" w:type="dxa"/>
                  <w:shd w:val="clear" w:color="auto" w:fill="auto"/>
                  <w:vAlign w:val="center"/>
                </w:tcPr>
                <w:p>
                  <w:pPr>
                    <w:ind w:left="-105" w:leftChars="-50" w:right="-105" w:rightChars="-50"/>
                    <w:jc w:val="center"/>
                    <w:rPr>
                      <w:color w:val="000000"/>
                      <w:sz w:val="18"/>
                      <w:szCs w:val="18"/>
                    </w:rPr>
                  </w:pPr>
                  <w:r>
                    <w:rPr>
                      <w:color w:val="000000"/>
                      <w:sz w:val="18"/>
                      <w:szCs w:val="18"/>
                    </w:rPr>
                    <w:t>无量纲</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7.7</w:t>
                  </w:r>
                </w:p>
              </w:tc>
              <w:tc>
                <w:tcPr>
                  <w:tcW w:w="716"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50"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38"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7.7</w:t>
                  </w:r>
                </w:p>
              </w:tc>
              <w:tc>
                <w:tcPr>
                  <w:tcW w:w="1012" w:type="dxa"/>
                  <w:shd w:val="clear" w:color="auto" w:fill="auto"/>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7.7~7.8</w:t>
                  </w:r>
                </w:p>
              </w:tc>
              <w:tc>
                <w:tcPr>
                  <w:tcW w:w="647" w:type="dxa"/>
                  <w:shd w:val="clear" w:color="auto" w:fill="auto"/>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6~9</w:t>
                  </w:r>
                </w:p>
              </w:tc>
              <w:tc>
                <w:tcPr>
                  <w:tcW w:w="608" w:type="dxa"/>
                  <w:shd w:val="clear" w:color="auto" w:fill="auto"/>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悬浮物</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13</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17</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15</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13</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14</w:t>
                  </w:r>
                </w:p>
              </w:tc>
              <w:tc>
                <w:tcPr>
                  <w:tcW w:w="647" w:type="dxa"/>
                  <w:vAlign w:val="center"/>
                </w:tcPr>
                <w:p>
                  <w:pPr>
                    <w:ind w:left="-105" w:leftChars="-50" w:right="-105" w:rightChars="-50"/>
                    <w:jc w:val="center"/>
                    <w:rPr>
                      <w:sz w:val="18"/>
                      <w:szCs w:val="18"/>
                    </w:rPr>
                  </w:pPr>
                  <w:r>
                    <w:rPr>
                      <w:rFonts w:hint="eastAsia"/>
                      <w:sz w:val="18"/>
                      <w:szCs w:val="18"/>
                    </w:rPr>
                    <w:t>180</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ind w:left="-105" w:leftChars="-50" w:right="-105" w:rightChars="-50"/>
                    <w:jc w:val="center"/>
                    <w:textAlignment w:val="baseline"/>
                    <w:rPr>
                      <w:bCs/>
                      <w:color w:val="000000"/>
                      <w:sz w:val="18"/>
                      <w:szCs w:val="18"/>
                      <w:u w:color="000000"/>
                    </w:rPr>
                  </w:pPr>
                  <w:r>
                    <w:rPr>
                      <w:bCs/>
                      <w:color w:val="000000"/>
                      <w:sz w:val="18"/>
                      <w:szCs w:val="18"/>
                      <w:u w:color="000000"/>
                    </w:rPr>
                    <w:t>化学需氧量</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29</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26</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23</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30</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27</w:t>
                  </w:r>
                </w:p>
              </w:tc>
              <w:tc>
                <w:tcPr>
                  <w:tcW w:w="647" w:type="dxa"/>
                  <w:vAlign w:val="center"/>
                </w:tcPr>
                <w:p>
                  <w:pPr>
                    <w:ind w:left="-105" w:leftChars="-50" w:right="-105" w:rightChars="-50"/>
                    <w:jc w:val="center"/>
                    <w:rPr>
                      <w:color w:val="000000"/>
                      <w:sz w:val="18"/>
                      <w:szCs w:val="18"/>
                    </w:rPr>
                  </w:pPr>
                  <w:r>
                    <w:rPr>
                      <w:rFonts w:hint="eastAsia"/>
                      <w:color w:val="000000"/>
                      <w:sz w:val="18"/>
                      <w:szCs w:val="18"/>
                    </w:rPr>
                    <w:t>320</w:t>
                  </w:r>
                </w:p>
              </w:tc>
              <w:tc>
                <w:tcPr>
                  <w:tcW w:w="608" w:type="dxa"/>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氨氮</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0.154</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0.165</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0.179</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0.151</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0.162</w:t>
                  </w:r>
                </w:p>
              </w:tc>
              <w:tc>
                <w:tcPr>
                  <w:tcW w:w="647" w:type="dxa"/>
                  <w:vAlign w:val="center"/>
                </w:tcPr>
                <w:p>
                  <w:pPr>
                    <w:ind w:left="-105" w:leftChars="-50" w:right="-105" w:rightChars="-50"/>
                    <w:jc w:val="center"/>
                    <w:rPr>
                      <w:color w:val="000000"/>
                      <w:sz w:val="18"/>
                      <w:szCs w:val="18"/>
                    </w:rPr>
                  </w:pPr>
                  <w:r>
                    <w:rPr>
                      <w:rFonts w:hint="eastAsia"/>
                      <w:color w:val="000000"/>
                      <w:sz w:val="18"/>
                      <w:szCs w:val="18"/>
                    </w:rPr>
                    <w:t>25</w:t>
                  </w:r>
                </w:p>
              </w:tc>
              <w:tc>
                <w:tcPr>
                  <w:tcW w:w="608" w:type="dxa"/>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ind w:left="-105" w:leftChars="-50" w:right="-105" w:rightChars="-50"/>
                    <w:jc w:val="center"/>
                    <w:textAlignment w:val="baseline"/>
                    <w:rPr>
                      <w:bCs/>
                      <w:kern w:val="0"/>
                      <w:sz w:val="18"/>
                      <w:szCs w:val="18"/>
                      <w:u w:color="000000"/>
                    </w:rPr>
                  </w:pPr>
                  <w:r>
                    <w:rPr>
                      <w:bCs/>
                      <w:kern w:val="0"/>
                      <w:sz w:val="18"/>
                      <w:szCs w:val="18"/>
                      <w:u w:color="000000"/>
                    </w:rPr>
                    <w:t>五日生化需氧量</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8.8</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7.4</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8.2</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9.8</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8.6</w:t>
                  </w:r>
                </w:p>
              </w:tc>
              <w:tc>
                <w:tcPr>
                  <w:tcW w:w="647" w:type="dxa"/>
                  <w:vAlign w:val="center"/>
                </w:tcPr>
                <w:p>
                  <w:pPr>
                    <w:ind w:left="-105" w:leftChars="-50" w:right="-105" w:rightChars="-50"/>
                    <w:jc w:val="center"/>
                    <w:rPr>
                      <w:sz w:val="18"/>
                      <w:szCs w:val="18"/>
                    </w:rPr>
                  </w:pPr>
                  <w:r>
                    <w:rPr>
                      <w:rFonts w:hint="eastAsia"/>
                      <w:sz w:val="18"/>
                      <w:szCs w:val="18"/>
                    </w:rPr>
                    <w:t>150</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restart"/>
                  <w:vAlign w:val="center"/>
                </w:tcPr>
                <w:p>
                  <w:pPr>
                    <w:widowControl/>
                    <w:spacing w:before="31" w:after="31"/>
                    <w:ind w:left="-105" w:leftChars="-50" w:right="-105" w:rightChars="-50"/>
                    <w:jc w:val="center"/>
                    <w:textAlignment w:val="baseline"/>
                    <w:rPr>
                      <w:bCs/>
                      <w:sz w:val="18"/>
                      <w:szCs w:val="18"/>
                      <w:u w:color="000000"/>
                    </w:rPr>
                  </w:pPr>
                  <w:r>
                    <w:rPr>
                      <w:sz w:val="18"/>
                      <w:szCs w:val="18"/>
                    </w:rPr>
                    <w:t>202</w:t>
                  </w:r>
                  <w:r>
                    <w:rPr>
                      <w:rFonts w:hint="eastAsia"/>
                      <w:sz w:val="18"/>
                      <w:szCs w:val="18"/>
                    </w:rPr>
                    <w:t>2</w:t>
                  </w:r>
                  <w:r>
                    <w:rPr>
                      <w:sz w:val="18"/>
                      <w:szCs w:val="18"/>
                    </w:rPr>
                    <w:t>/</w:t>
                  </w:r>
                  <w:r>
                    <w:rPr>
                      <w:rFonts w:hint="eastAsia"/>
                      <w:sz w:val="18"/>
                      <w:szCs w:val="18"/>
                    </w:rPr>
                    <w:t>3</w:t>
                  </w:r>
                  <w:r>
                    <w:rPr>
                      <w:sz w:val="18"/>
                      <w:szCs w:val="18"/>
                    </w:rPr>
                    <w:t>/</w:t>
                  </w:r>
                  <w:r>
                    <w:rPr>
                      <w:rFonts w:hint="eastAsia"/>
                      <w:sz w:val="18"/>
                      <w:szCs w:val="18"/>
                    </w:rPr>
                    <w:t>10</w:t>
                  </w:r>
                </w:p>
              </w:tc>
              <w:tc>
                <w:tcPr>
                  <w:tcW w:w="980" w:type="dxa"/>
                  <w:vMerge w:val="restart"/>
                  <w:vAlign w:val="center"/>
                </w:tcPr>
                <w:p>
                  <w:pPr>
                    <w:widowControl/>
                    <w:spacing w:before="31" w:after="31"/>
                    <w:ind w:left="-105" w:leftChars="-50" w:right="-105" w:rightChars="-50"/>
                    <w:jc w:val="center"/>
                    <w:textAlignment w:val="baseline"/>
                    <w:rPr>
                      <w:bCs/>
                      <w:sz w:val="18"/>
                      <w:szCs w:val="18"/>
                      <w:u w:color="000000"/>
                    </w:rPr>
                  </w:pPr>
                  <w:r>
                    <w:rPr>
                      <w:rFonts w:hint="eastAsia"/>
                      <w:color w:val="000000"/>
                      <w:kern w:val="0"/>
                      <w:sz w:val="18"/>
                      <w:szCs w:val="18"/>
                    </w:rPr>
                    <w:t>项目</w:t>
                  </w:r>
                  <w:r>
                    <w:rPr>
                      <w:color w:val="000000"/>
                      <w:kern w:val="0"/>
                      <w:sz w:val="18"/>
                      <w:szCs w:val="18"/>
                    </w:rPr>
                    <w:t>废水排放口★1#</w:t>
                  </w: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pH值</w:t>
                  </w:r>
                </w:p>
              </w:tc>
              <w:tc>
                <w:tcPr>
                  <w:tcW w:w="671" w:type="dxa"/>
                  <w:vAlign w:val="center"/>
                </w:tcPr>
                <w:p>
                  <w:pPr>
                    <w:ind w:left="-105" w:leftChars="-50" w:right="-105" w:rightChars="-50"/>
                    <w:jc w:val="center"/>
                    <w:rPr>
                      <w:color w:val="000000"/>
                      <w:sz w:val="18"/>
                      <w:szCs w:val="18"/>
                    </w:rPr>
                  </w:pPr>
                  <w:r>
                    <w:rPr>
                      <w:color w:val="000000"/>
                      <w:sz w:val="18"/>
                      <w:szCs w:val="18"/>
                    </w:rPr>
                    <w:t>无量纲</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7.9</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7.8~7.9</w:t>
                  </w:r>
                </w:p>
              </w:tc>
              <w:tc>
                <w:tcPr>
                  <w:tcW w:w="647"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6~9</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悬浮物</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26</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28</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36</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34</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31</w:t>
                  </w:r>
                </w:p>
              </w:tc>
              <w:tc>
                <w:tcPr>
                  <w:tcW w:w="647" w:type="dxa"/>
                  <w:vAlign w:val="center"/>
                </w:tcPr>
                <w:p>
                  <w:pPr>
                    <w:ind w:left="-105" w:leftChars="-50" w:right="-105" w:rightChars="-50"/>
                    <w:jc w:val="center"/>
                    <w:rPr>
                      <w:sz w:val="18"/>
                      <w:szCs w:val="18"/>
                    </w:rPr>
                  </w:pPr>
                  <w:r>
                    <w:rPr>
                      <w:rFonts w:hint="eastAsia"/>
                      <w:sz w:val="18"/>
                      <w:szCs w:val="18"/>
                    </w:rPr>
                    <w:t>200</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ind w:left="-105" w:leftChars="-50" w:right="-105" w:rightChars="-50"/>
                    <w:jc w:val="center"/>
                    <w:textAlignment w:val="baseline"/>
                    <w:rPr>
                      <w:bCs/>
                      <w:color w:val="000000"/>
                      <w:sz w:val="18"/>
                      <w:szCs w:val="18"/>
                      <w:u w:color="000000"/>
                    </w:rPr>
                  </w:pPr>
                  <w:r>
                    <w:rPr>
                      <w:bCs/>
                      <w:color w:val="000000"/>
                      <w:sz w:val="18"/>
                      <w:szCs w:val="18"/>
                      <w:u w:color="000000"/>
                    </w:rPr>
                    <w:t>化学需氧量</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34</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39</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37</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36</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36</w:t>
                  </w:r>
                </w:p>
              </w:tc>
              <w:tc>
                <w:tcPr>
                  <w:tcW w:w="647" w:type="dxa"/>
                  <w:vAlign w:val="center"/>
                </w:tcPr>
                <w:p>
                  <w:pPr>
                    <w:ind w:left="-105" w:leftChars="-50" w:right="-105" w:rightChars="-50"/>
                    <w:jc w:val="center"/>
                    <w:rPr>
                      <w:color w:val="000000"/>
                      <w:sz w:val="18"/>
                      <w:szCs w:val="18"/>
                    </w:rPr>
                  </w:pPr>
                  <w:r>
                    <w:rPr>
                      <w:rFonts w:hint="eastAsia"/>
                      <w:color w:val="000000"/>
                      <w:sz w:val="18"/>
                      <w:szCs w:val="18"/>
                    </w:rPr>
                    <w:t>474.47</w:t>
                  </w:r>
                </w:p>
              </w:tc>
              <w:tc>
                <w:tcPr>
                  <w:tcW w:w="608" w:type="dxa"/>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氨氮</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0.228</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0.196</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0.232</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0.240</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0.224</w:t>
                  </w:r>
                </w:p>
              </w:tc>
              <w:tc>
                <w:tcPr>
                  <w:tcW w:w="647" w:type="dxa"/>
                  <w:vAlign w:val="center"/>
                </w:tcPr>
                <w:p>
                  <w:pPr>
                    <w:ind w:left="-105" w:leftChars="-50" w:right="-105" w:rightChars="-50"/>
                    <w:jc w:val="center"/>
                    <w:rPr>
                      <w:color w:val="000000"/>
                      <w:sz w:val="18"/>
                      <w:szCs w:val="18"/>
                    </w:rPr>
                  </w:pPr>
                  <w:r>
                    <w:rPr>
                      <w:rFonts w:hint="eastAsia"/>
                      <w:color w:val="000000"/>
                      <w:sz w:val="18"/>
                      <w:szCs w:val="18"/>
                    </w:rPr>
                    <w:t>26</w:t>
                  </w:r>
                </w:p>
              </w:tc>
              <w:tc>
                <w:tcPr>
                  <w:tcW w:w="608" w:type="dxa"/>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ind w:left="-105" w:leftChars="-50" w:right="-105" w:rightChars="-50"/>
                    <w:jc w:val="center"/>
                    <w:textAlignment w:val="baseline"/>
                    <w:rPr>
                      <w:bCs/>
                      <w:kern w:val="0"/>
                      <w:sz w:val="18"/>
                      <w:szCs w:val="18"/>
                      <w:u w:color="000000"/>
                    </w:rPr>
                  </w:pPr>
                  <w:r>
                    <w:rPr>
                      <w:bCs/>
                      <w:kern w:val="0"/>
                      <w:sz w:val="18"/>
                      <w:szCs w:val="18"/>
                      <w:u w:color="000000"/>
                    </w:rPr>
                    <w:t>五日生化需氧量</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11.7</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14.2</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10.7</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13.2</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12.4</w:t>
                  </w:r>
                </w:p>
              </w:tc>
              <w:tc>
                <w:tcPr>
                  <w:tcW w:w="647" w:type="dxa"/>
                  <w:vAlign w:val="center"/>
                </w:tcPr>
                <w:p>
                  <w:pPr>
                    <w:ind w:left="-105" w:leftChars="-50" w:right="-105" w:rightChars="-50"/>
                    <w:jc w:val="center"/>
                    <w:rPr>
                      <w:sz w:val="18"/>
                      <w:szCs w:val="18"/>
                    </w:rPr>
                  </w:pPr>
                  <w:r>
                    <w:rPr>
                      <w:rFonts w:hint="eastAsia"/>
                      <w:sz w:val="18"/>
                      <w:szCs w:val="18"/>
                    </w:rPr>
                    <w:t>218.62</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restart"/>
                  <w:vAlign w:val="center"/>
                </w:tcPr>
                <w:p>
                  <w:pPr>
                    <w:widowControl/>
                    <w:spacing w:before="31" w:after="31"/>
                    <w:ind w:left="-105" w:leftChars="-50" w:right="-105" w:rightChars="-50"/>
                    <w:jc w:val="center"/>
                    <w:textAlignment w:val="baseline"/>
                    <w:rPr>
                      <w:bCs/>
                      <w:sz w:val="18"/>
                      <w:szCs w:val="18"/>
                      <w:u w:color="000000"/>
                    </w:rPr>
                  </w:pPr>
                  <w:r>
                    <w:rPr>
                      <w:bCs/>
                      <w:sz w:val="18"/>
                      <w:szCs w:val="18"/>
                      <w:u w:color="000000"/>
                    </w:rPr>
                    <w:t>园区污水总排口★2#</w:t>
                  </w: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pH值</w:t>
                  </w:r>
                </w:p>
              </w:tc>
              <w:tc>
                <w:tcPr>
                  <w:tcW w:w="671" w:type="dxa"/>
                  <w:vAlign w:val="center"/>
                </w:tcPr>
                <w:p>
                  <w:pPr>
                    <w:ind w:left="-105" w:leftChars="-50" w:right="-105" w:rightChars="-50"/>
                    <w:jc w:val="center"/>
                    <w:rPr>
                      <w:color w:val="000000"/>
                      <w:sz w:val="18"/>
                      <w:szCs w:val="18"/>
                    </w:rPr>
                  </w:pPr>
                  <w:r>
                    <w:rPr>
                      <w:color w:val="000000"/>
                      <w:sz w:val="18"/>
                      <w:szCs w:val="18"/>
                    </w:rPr>
                    <w:t>无量纲</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7.7</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7.8</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7.7</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7.7~7.8</w:t>
                  </w:r>
                </w:p>
              </w:tc>
              <w:tc>
                <w:tcPr>
                  <w:tcW w:w="647" w:type="dxa"/>
                  <w:vAlign w:val="center"/>
                </w:tcPr>
                <w:p>
                  <w:pPr>
                    <w:widowControl/>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6~9</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悬浮物</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18</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16</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11</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14</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15</w:t>
                  </w:r>
                </w:p>
              </w:tc>
              <w:tc>
                <w:tcPr>
                  <w:tcW w:w="647" w:type="dxa"/>
                  <w:vAlign w:val="center"/>
                </w:tcPr>
                <w:p>
                  <w:pPr>
                    <w:ind w:left="-105" w:leftChars="-50" w:right="-105" w:rightChars="-50"/>
                    <w:jc w:val="center"/>
                    <w:rPr>
                      <w:sz w:val="18"/>
                      <w:szCs w:val="18"/>
                    </w:rPr>
                  </w:pPr>
                  <w:r>
                    <w:rPr>
                      <w:rFonts w:hint="eastAsia"/>
                      <w:sz w:val="18"/>
                      <w:szCs w:val="18"/>
                    </w:rPr>
                    <w:t>180</w:t>
                  </w:r>
                </w:p>
              </w:tc>
              <w:tc>
                <w:tcPr>
                  <w:tcW w:w="608" w:type="dxa"/>
                  <w:vAlign w:val="center"/>
                </w:tcPr>
                <w:p>
                  <w:pPr>
                    <w:ind w:left="-105" w:leftChars="-50" w:right="-105" w:rightChars="-50"/>
                    <w:jc w:val="center"/>
                    <w:rPr>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ind w:left="-105" w:leftChars="-50" w:right="-105" w:rightChars="-50"/>
                    <w:jc w:val="center"/>
                    <w:textAlignment w:val="baseline"/>
                    <w:rPr>
                      <w:bCs/>
                      <w:color w:val="000000"/>
                      <w:sz w:val="18"/>
                      <w:szCs w:val="18"/>
                      <w:u w:color="000000"/>
                    </w:rPr>
                  </w:pPr>
                  <w:r>
                    <w:rPr>
                      <w:bCs/>
                      <w:color w:val="000000"/>
                      <w:sz w:val="18"/>
                      <w:szCs w:val="18"/>
                      <w:u w:color="000000"/>
                    </w:rPr>
                    <w:t>化学需氧量</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28</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25</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27</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26</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26</w:t>
                  </w:r>
                </w:p>
              </w:tc>
              <w:tc>
                <w:tcPr>
                  <w:tcW w:w="647" w:type="dxa"/>
                  <w:vAlign w:val="center"/>
                </w:tcPr>
                <w:p>
                  <w:pPr>
                    <w:ind w:left="-105" w:leftChars="-50" w:right="-105" w:rightChars="-50"/>
                    <w:jc w:val="center"/>
                    <w:rPr>
                      <w:color w:val="000000"/>
                      <w:sz w:val="18"/>
                      <w:szCs w:val="18"/>
                    </w:rPr>
                  </w:pPr>
                  <w:r>
                    <w:rPr>
                      <w:rFonts w:hint="eastAsia"/>
                      <w:color w:val="000000"/>
                      <w:sz w:val="18"/>
                      <w:szCs w:val="18"/>
                    </w:rPr>
                    <w:t>320</w:t>
                  </w:r>
                </w:p>
              </w:tc>
              <w:tc>
                <w:tcPr>
                  <w:tcW w:w="608" w:type="dxa"/>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jc w:val="center"/>
                    <w:textAlignment w:val="baseline"/>
                    <w:rPr>
                      <w:bCs/>
                      <w:kern w:val="0"/>
                      <w:sz w:val="18"/>
                      <w:szCs w:val="18"/>
                      <w:u w:color="000000"/>
                    </w:rPr>
                  </w:pPr>
                  <w:r>
                    <w:rPr>
                      <w:bCs/>
                      <w:kern w:val="0"/>
                      <w:sz w:val="18"/>
                      <w:szCs w:val="18"/>
                      <w:u w:color="000000"/>
                    </w:rPr>
                    <w:t>氨氮</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0.148</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0.162</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0.154</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0.138</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0.150</w:t>
                  </w:r>
                </w:p>
              </w:tc>
              <w:tc>
                <w:tcPr>
                  <w:tcW w:w="647" w:type="dxa"/>
                  <w:vAlign w:val="center"/>
                </w:tcPr>
                <w:p>
                  <w:pPr>
                    <w:ind w:left="-105" w:leftChars="-50" w:right="-105" w:rightChars="-50"/>
                    <w:jc w:val="center"/>
                    <w:rPr>
                      <w:color w:val="000000"/>
                      <w:sz w:val="18"/>
                      <w:szCs w:val="18"/>
                    </w:rPr>
                  </w:pPr>
                  <w:r>
                    <w:rPr>
                      <w:rFonts w:hint="eastAsia"/>
                      <w:color w:val="000000"/>
                      <w:sz w:val="18"/>
                      <w:szCs w:val="18"/>
                    </w:rPr>
                    <w:t>25</w:t>
                  </w:r>
                </w:p>
              </w:tc>
              <w:tc>
                <w:tcPr>
                  <w:tcW w:w="608" w:type="dxa"/>
                  <w:vAlign w:val="center"/>
                </w:tcPr>
                <w:p>
                  <w:pPr>
                    <w:ind w:left="-105" w:leftChars="-50" w:right="-105" w:rightChars="-50"/>
                    <w:jc w:val="center"/>
                    <w:rPr>
                      <w:color w:val="000000"/>
                      <w:sz w:val="18"/>
                      <w:szCs w:val="18"/>
                    </w:rPr>
                  </w:pPr>
                  <w:r>
                    <w:rPr>
                      <w:sz w:val="18"/>
                      <w:szCs w:val="18"/>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jc w:val="center"/>
              </w:trPr>
              <w:tc>
                <w:tcPr>
                  <w:tcW w:w="87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980" w:type="dxa"/>
                  <w:vMerge w:val="continue"/>
                  <w:vAlign w:val="center"/>
                </w:tcPr>
                <w:p>
                  <w:pPr>
                    <w:widowControl/>
                    <w:spacing w:before="31" w:after="31"/>
                    <w:ind w:left="-105" w:leftChars="-50" w:right="-105" w:rightChars="-50"/>
                    <w:jc w:val="center"/>
                    <w:textAlignment w:val="baseline"/>
                    <w:rPr>
                      <w:bCs/>
                      <w:sz w:val="18"/>
                      <w:szCs w:val="18"/>
                      <w:u w:color="000000"/>
                    </w:rPr>
                  </w:pPr>
                </w:p>
              </w:tc>
              <w:tc>
                <w:tcPr>
                  <w:tcW w:w="1329" w:type="dxa"/>
                  <w:vAlign w:val="center"/>
                </w:tcPr>
                <w:p>
                  <w:pPr>
                    <w:widowControl/>
                    <w:spacing w:before="31" w:after="31"/>
                    <w:ind w:left="-105" w:leftChars="-50" w:right="-105" w:rightChars="-50"/>
                    <w:jc w:val="center"/>
                    <w:textAlignment w:val="baseline"/>
                    <w:rPr>
                      <w:bCs/>
                      <w:kern w:val="0"/>
                      <w:sz w:val="18"/>
                      <w:szCs w:val="18"/>
                      <w:u w:color="000000"/>
                    </w:rPr>
                  </w:pPr>
                  <w:r>
                    <w:rPr>
                      <w:bCs/>
                      <w:kern w:val="0"/>
                      <w:sz w:val="18"/>
                      <w:szCs w:val="18"/>
                      <w:u w:color="000000"/>
                    </w:rPr>
                    <w:t>五日生化需氧量</w:t>
                  </w:r>
                </w:p>
              </w:tc>
              <w:tc>
                <w:tcPr>
                  <w:tcW w:w="671" w:type="dxa"/>
                  <w:vAlign w:val="center"/>
                </w:tcPr>
                <w:p>
                  <w:pPr>
                    <w:ind w:left="-105" w:leftChars="-50" w:right="-105" w:rightChars="-50"/>
                    <w:jc w:val="center"/>
                    <w:rPr>
                      <w:color w:val="000000"/>
                      <w:sz w:val="18"/>
                      <w:szCs w:val="18"/>
                    </w:rPr>
                  </w:pPr>
                  <w:r>
                    <w:rPr>
                      <w:color w:val="000000"/>
                      <w:sz w:val="18"/>
                      <w:szCs w:val="18"/>
                    </w:rPr>
                    <w:t>mg/L</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8.6</w:t>
                  </w:r>
                </w:p>
              </w:tc>
              <w:tc>
                <w:tcPr>
                  <w:tcW w:w="716"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7.6</w:t>
                  </w:r>
                </w:p>
              </w:tc>
              <w:tc>
                <w:tcPr>
                  <w:tcW w:w="750"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9.0</w:t>
                  </w:r>
                </w:p>
              </w:tc>
              <w:tc>
                <w:tcPr>
                  <w:tcW w:w="738"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8.9</w:t>
                  </w:r>
                </w:p>
              </w:tc>
              <w:tc>
                <w:tcPr>
                  <w:tcW w:w="1012" w:type="dxa"/>
                  <w:vAlign w:val="center"/>
                </w:tcPr>
                <w:p>
                  <w:pPr>
                    <w:widowControl/>
                    <w:spacing w:before="31" w:after="31"/>
                    <w:ind w:left="-105" w:leftChars="-50" w:right="-105" w:rightChars="-50"/>
                    <w:jc w:val="center"/>
                    <w:textAlignment w:val="baseline"/>
                    <w:rPr>
                      <w:bCs/>
                      <w:color w:val="000000"/>
                      <w:sz w:val="18"/>
                      <w:szCs w:val="18"/>
                      <w:u w:color="000000"/>
                    </w:rPr>
                  </w:pPr>
                  <w:r>
                    <w:rPr>
                      <w:rFonts w:hint="eastAsia"/>
                      <w:bCs/>
                      <w:color w:val="000000"/>
                      <w:sz w:val="18"/>
                      <w:szCs w:val="18"/>
                      <w:u w:color="000000"/>
                    </w:rPr>
                    <w:t>8.5</w:t>
                  </w:r>
                </w:p>
              </w:tc>
              <w:tc>
                <w:tcPr>
                  <w:tcW w:w="647" w:type="dxa"/>
                  <w:vAlign w:val="center"/>
                </w:tcPr>
                <w:p>
                  <w:pPr>
                    <w:ind w:left="-105" w:leftChars="-50" w:right="-105" w:rightChars="-50"/>
                    <w:jc w:val="center"/>
                    <w:rPr>
                      <w:sz w:val="18"/>
                      <w:szCs w:val="18"/>
                    </w:rPr>
                  </w:pPr>
                  <w:r>
                    <w:rPr>
                      <w:rFonts w:hint="eastAsia"/>
                      <w:sz w:val="18"/>
                      <w:szCs w:val="18"/>
                    </w:rPr>
                    <w:t>150</w:t>
                  </w:r>
                </w:p>
              </w:tc>
              <w:tc>
                <w:tcPr>
                  <w:tcW w:w="608" w:type="dxa"/>
                  <w:vAlign w:val="center"/>
                </w:tcPr>
                <w:p>
                  <w:pPr>
                    <w:ind w:left="-105" w:leftChars="-50" w:right="-105" w:rightChars="-50"/>
                    <w:jc w:val="center"/>
                    <w:rPr>
                      <w:sz w:val="18"/>
                      <w:szCs w:val="18"/>
                    </w:rPr>
                  </w:pPr>
                  <w:r>
                    <w:rPr>
                      <w:sz w:val="18"/>
                      <w:szCs w:val="18"/>
                    </w:rPr>
                    <w:t>达标</w:t>
                  </w:r>
                </w:p>
              </w:tc>
            </w:tr>
          </w:tbl>
          <w:p>
            <w:pPr>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表7-</w:t>
            </w:r>
            <w:r>
              <w:rPr>
                <w:rFonts w:hint="eastAsia"/>
                <w:color w:val="000000" w:themeColor="text1"/>
                <w:sz w:val="24"/>
                <w14:textFill>
                  <w14:solidFill>
                    <w14:schemeClr w14:val="tx1"/>
                  </w14:solidFill>
                </w14:textFill>
              </w:rPr>
              <w:t>2</w:t>
            </w:r>
            <w:r>
              <w:rPr>
                <w:color w:val="000000" w:themeColor="text1"/>
                <w:sz w:val="24"/>
                <w14:textFill>
                  <w14:solidFill>
                    <w14:schemeClr w14:val="tx1"/>
                  </w14:solidFill>
                </w14:textFill>
              </w:rPr>
              <w:t>表明，</w:t>
            </w:r>
            <w:r>
              <w:rPr>
                <w:sz w:val="24"/>
              </w:rPr>
              <w:t>验收监测期间，项目废水排放口★1#中pH值、化学需氧量、五日生化需氧量、氨氮、悬浮物浓度的测定均值或范围均满足园区污水处理站进水水质要求；园区污水总排口★2#中pH值、化学需氧量、五日生化需氧量、氨氮、悬浮物</w:t>
            </w:r>
            <w:r>
              <w:rPr>
                <w:rFonts w:hint="eastAsia"/>
                <w:sz w:val="24"/>
              </w:rPr>
              <w:t>浓度</w:t>
            </w:r>
            <w:r>
              <w:rPr>
                <w:sz w:val="24"/>
              </w:rPr>
              <w:t>的测定均值或范围均满足豹澥污水处理厂进水水质标准。</w:t>
            </w: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p>
          <w:p>
            <w:pPr>
              <w:pStyle w:val="23"/>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7.2.3噪声监测结果及分析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噪声监测结果统计见表</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w:t>
            </w:r>
          </w:p>
          <w:p>
            <w:pPr>
              <w:ind w:right="210"/>
              <w:jc w:val="center"/>
              <w:rPr>
                <w:rStyle w:val="105"/>
                <w:rFonts w:eastAsia="黑体"/>
                <w:b w:val="0"/>
                <w:color w:val="000000" w:themeColor="text1"/>
                <w:sz w:val="18"/>
                <w14:textFill>
                  <w14:solidFill>
                    <w14:schemeClr w14:val="tx1"/>
                  </w14:solidFill>
                </w14:textFill>
              </w:rPr>
            </w:pPr>
            <w:r>
              <w:rPr>
                <w:rFonts w:eastAsia="黑体"/>
                <w:bCs/>
                <w:color w:val="000000" w:themeColor="text1"/>
                <w:szCs w:val="21"/>
                <w14:textFill>
                  <w14:solidFill>
                    <w14:schemeClr w14:val="tx1"/>
                  </w14:solidFill>
                </w14:textFill>
              </w:rPr>
              <w:t xml:space="preserve">                               表7-</w:t>
            </w:r>
            <w:r>
              <w:rPr>
                <w:rFonts w:hint="eastAsia" w:eastAsia="黑体"/>
                <w:bCs/>
                <w:color w:val="000000" w:themeColor="text1"/>
                <w:szCs w:val="21"/>
                <w14:textFill>
                  <w14:solidFill>
                    <w14:schemeClr w14:val="tx1"/>
                  </w14:solidFill>
                </w14:textFill>
              </w:rPr>
              <w:t>3</w:t>
            </w:r>
            <w:r>
              <w:rPr>
                <w:rFonts w:eastAsia="黑体"/>
                <w:bCs/>
                <w:color w:val="000000" w:themeColor="text1"/>
                <w:szCs w:val="21"/>
                <w14:textFill>
                  <w14:solidFill>
                    <w14:schemeClr w14:val="tx1"/>
                  </w14:solidFill>
                </w14:textFill>
              </w:rPr>
              <w:t xml:space="preserve">项目厂界噪声监测结果                   </w:t>
            </w:r>
            <w:r>
              <w:rPr>
                <w:rStyle w:val="105"/>
                <w:rFonts w:eastAsia="黑体"/>
                <w:b w:val="0"/>
                <w:color w:val="000000" w:themeColor="text1"/>
                <w:sz w:val="18"/>
                <w14:textFill>
                  <w14:solidFill>
                    <w14:schemeClr w14:val="tx1"/>
                  </w14:solidFill>
                </w14:textFill>
              </w:rPr>
              <w:t>单位：dB(A)</w:t>
            </w:r>
          </w:p>
          <w:tbl>
            <w:tblPr>
              <w:tblStyle w:val="28"/>
              <w:tblW w:w="90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701"/>
              <w:gridCol w:w="1356"/>
              <w:gridCol w:w="832"/>
              <w:gridCol w:w="961"/>
              <w:gridCol w:w="959"/>
              <w:gridCol w:w="1097"/>
              <w:gridCol w:w="956"/>
              <w:gridCol w:w="1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097" w:type="dxa"/>
                  <w:vMerge w:val="restart"/>
                  <w:tcBorders>
                    <w:top w:val="single" w:color="auto" w:sz="12" w:space="0"/>
                    <w:bottom w:val="single" w:color="auto" w:sz="4" w:space="0"/>
                  </w:tcBorders>
                  <w:vAlign w:val="center"/>
                </w:tcPr>
                <w:p>
                  <w:pPr>
                    <w:spacing w:line="240" w:lineRule="exact"/>
                    <w:jc w:val="center"/>
                    <w:rPr>
                      <w:rStyle w:val="105"/>
                      <w:color w:val="000000" w:themeColor="text1"/>
                      <w:sz w:val="18"/>
                      <w:szCs w:val="18"/>
                      <w14:textFill>
                        <w14:solidFill>
                          <w14:schemeClr w14:val="tx1"/>
                        </w14:solidFill>
                      </w14:textFill>
                    </w:rPr>
                  </w:pPr>
                  <w:r>
                    <w:rPr>
                      <w:rStyle w:val="105"/>
                      <w:color w:val="000000" w:themeColor="text1"/>
                      <w:sz w:val="18"/>
                      <w:szCs w:val="18"/>
                      <w14:textFill>
                        <w14:solidFill>
                          <w14:schemeClr w14:val="tx1"/>
                        </w14:solidFill>
                      </w14:textFill>
                    </w:rPr>
                    <w:t>监测时间</w:t>
                  </w:r>
                </w:p>
              </w:tc>
              <w:tc>
                <w:tcPr>
                  <w:tcW w:w="701" w:type="dxa"/>
                  <w:vMerge w:val="restart"/>
                  <w:tcBorders>
                    <w:top w:val="single" w:color="auto" w:sz="12" w:space="0"/>
                    <w:bottom w:val="single" w:color="auto" w:sz="4"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测点</w:t>
                  </w:r>
                </w:p>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编号</w:t>
                  </w:r>
                </w:p>
              </w:tc>
              <w:tc>
                <w:tcPr>
                  <w:tcW w:w="1356" w:type="dxa"/>
                  <w:vMerge w:val="restart"/>
                  <w:tcBorders>
                    <w:top w:val="single" w:color="auto" w:sz="12" w:space="0"/>
                    <w:bottom w:val="single" w:color="auto" w:sz="4" w:space="0"/>
                  </w:tcBorders>
                  <w:vAlign w:val="center"/>
                </w:tcPr>
                <w:p>
                  <w:pPr>
                    <w:spacing w:line="240" w:lineRule="exact"/>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测点位置</w:t>
                  </w:r>
                </w:p>
              </w:tc>
              <w:tc>
                <w:tcPr>
                  <w:tcW w:w="2752" w:type="dxa"/>
                  <w:gridSpan w:val="3"/>
                  <w:tcBorders>
                    <w:top w:val="single" w:color="auto" w:sz="12" w:space="0"/>
                    <w:bottom w:val="single" w:color="auto" w:sz="4" w:space="0"/>
                  </w:tcBorders>
                  <w:vAlign w:val="center"/>
                </w:tcPr>
                <w:p>
                  <w:pPr>
                    <w:spacing w:line="240" w:lineRule="exact"/>
                    <w:jc w:val="center"/>
                    <w:rPr>
                      <w:rStyle w:val="105"/>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昼间</w:t>
                  </w:r>
                </w:p>
              </w:tc>
              <w:tc>
                <w:tcPr>
                  <w:tcW w:w="3164" w:type="dxa"/>
                  <w:gridSpan w:val="3"/>
                  <w:tcBorders>
                    <w:top w:val="single" w:color="auto" w:sz="12" w:space="0"/>
                    <w:bottom w:val="single" w:color="auto" w:sz="4" w:space="0"/>
                  </w:tcBorders>
                  <w:vAlign w:val="center"/>
                </w:tcPr>
                <w:p>
                  <w:pPr>
                    <w:spacing w:line="240" w:lineRule="exact"/>
                    <w:jc w:val="center"/>
                    <w:rPr>
                      <w:rStyle w:val="105"/>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1097" w:type="dxa"/>
                  <w:vMerge w:val="continue"/>
                  <w:tcBorders>
                    <w:top w:val="single" w:color="auto" w:sz="4" w:space="0"/>
                    <w:bottom w:val="single" w:color="auto" w:sz="12" w:space="0"/>
                  </w:tcBorders>
                  <w:vAlign w:val="center"/>
                </w:tcPr>
                <w:p>
                  <w:pPr>
                    <w:spacing w:line="240" w:lineRule="exact"/>
                    <w:jc w:val="center"/>
                    <w:rPr>
                      <w:rStyle w:val="105"/>
                      <w:color w:val="000000" w:themeColor="text1"/>
                      <w:sz w:val="18"/>
                      <w:szCs w:val="18"/>
                      <w14:textFill>
                        <w14:solidFill>
                          <w14:schemeClr w14:val="tx1"/>
                        </w14:solidFill>
                      </w14:textFill>
                    </w:rPr>
                  </w:pPr>
                </w:p>
              </w:tc>
              <w:tc>
                <w:tcPr>
                  <w:tcW w:w="701" w:type="dxa"/>
                  <w:vMerge w:val="continue"/>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p>
              </w:tc>
              <w:tc>
                <w:tcPr>
                  <w:tcW w:w="1356" w:type="dxa"/>
                  <w:vMerge w:val="continue"/>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p>
              </w:tc>
              <w:tc>
                <w:tcPr>
                  <w:tcW w:w="832" w:type="dxa"/>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测量值</w:t>
                  </w:r>
                </w:p>
              </w:tc>
              <w:tc>
                <w:tcPr>
                  <w:tcW w:w="961" w:type="dxa"/>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标准限值</w:t>
                  </w:r>
                </w:p>
              </w:tc>
              <w:tc>
                <w:tcPr>
                  <w:tcW w:w="959" w:type="dxa"/>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达标评价</w:t>
                  </w:r>
                </w:p>
              </w:tc>
              <w:tc>
                <w:tcPr>
                  <w:tcW w:w="1097" w:type="dxa"/>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测量值</w:t>
                  </w:r>
                </w:p>
              </w:tc>
              <w:tc>
                <w:tcPr>
                  <w:tcW w:w="956" w:type="dxa"/>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标准限值</w:t>
                  </w:r>
                </w:p>
              </w:tc>
              <w:tc>
                <w:tcPr>
                  <w:tcW w:w="1111" w:type="dxa"/>
                  <w:tcBorders>
                    <w:top w:val="single" w:color="auto" w:sz="4" w:space="0"/>
                    <w:bottom w:val="single" w:color="auto" w:sz="12" w:space="0"/>
                  </w:tcBorders>
                  <w:vAlign w:val="center"/>
                </w:tcPr>
                <w:p>
                  <w:pPr>
                    <w:spacing w:line="240" w:lineRule="exact"/>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达标评价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restart"/>
                  <w:tcBorders>
                    <w:top w:val="single" w:color="auto" w:sz="12" w:space="0"/>
                  </w:tcBorders>
                  <w:vAlign w:val="center"/>
                </w:tcPr>
                <w:p>
                  <w:pPr>
                    <w:pStyle w:val="57"/>
                    <w:ind w:left="-105" w:leftChars="-50" w:right="-105" w:rightChars="-50" w:firstLine="0" w:firstLineChars="0"/>
                    <w:jc w:val="center"/>
                    <w:rPr>
                      <w:rStyle w:val="105"/>
                      <w:b w:val="0"/>
                      <w:color w:val="000000" w:themeColor="text1"/>
                      <w:sz w:val="18"/>
                      <w:szCs w:val="18"/>
                      <w14:textFill>
                        <w14:solidFill>
                          <w14:schemeClr w14:val="tx1"/>
                        </w14:solidFill>
                      </w14:textFill>
                    </w:rPr>
                  </w:pPr>
                  <w:r>
                    <w:rPr>
                      <w:sz w:val="18"/>
                      <w:szCs w:val="18"/>
                    </w:rPr>
                    <w:t>202</w:t>
                  </w:r>
                  <w:r>
                    <w:rPr>
                      <w:rFonts w:hint="eastAsia"/>
                      <w:sz w:val="18"/>
                      <w:szCs w:val="18"/>
                    </w:rPr>
                    <w:t>2</w:t>
                  </w:r>
                  <w:r>
                    <w:rPr>
                      <w:sz w:val="18"/>
                      <w:szCs w:val="18"/>
                    </w:rPr>
                    <w:t>/</w:t>
                  </w:r>
                  <w:r>
                    <w:rPr>
                      <w:rFonts w:hint="eastAsia"/>
                      <w:sz w:val="18"/>
                      <w:szCs w:val="18"/>
                    </w:rPr>
                    <w:t>3</w:t>
                  </w:r>
                  <w:r>
                    <w:rPr>
                      <w:sz w:val="18"/>
                      <w:szCs w:val="18"/>
                    </w:rPr>
                    <w:t>/</w:t>
                  </w:r>
                  <w:r>
                    <w:rPr>
                      <w:rFonts w:hint="eastAsia"/>
                      <w:sz w:val="18"/>
                      <w:szCs w:val="18"/>
                    </w:rPr>
                    <w:t>9</w:t>
                  </w:r>
                </w:p>
              </w:tc>
              <w:tc>
                <w:tcPr>
                  <w:tcW w:w="701" w:type="dxa"/>
                  <w:tcBorders>
                    <w:top w:val="single" w:color="auto" w:sz="12" w:space="0"/>
                  </w:tcBorders>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356" w:type="dxa"/>
                  <w:tcBorders>
                    <w:top w:val="single" w:color="auto" w:sz="12" w:space="0"/>
                  </w:tcBorders>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厂界东侧</w:t>
                  </w:r>
                </w:p>
              </w:tc>
              <w:tc>
                <w:tcPr>
                  <w:tcW w:w="832" w:type="dxa"/>
                  <w:tcBorders>
                    <w:top w:val="single" w:color="auto" w:sz="12"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54.6</w:t>
                  </w:r>
                </w:p>
              </w:tc>
              <w:tc>
                <w:tcPr>
                  <w:tcW w:w="961" w:type="dxa"/>
                  <w:tcBorders>
                    <w:top w:val="single" w:color="auto" w:sz="12"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tcBorders>
                    <w:top w:val="single" w:color="auto" w:sz="12" w:space="0"/>
                  </w:tcBorders>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tcBorders>
                    <w:top w:val="single" w:color="auto" w:sz="12"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43.8</w:t>
                  </w:r>
                </w:p>
              </w:tc>
              <w:tc>
                <w:tcPr>
                  <w:tcW w:w="956" w:type="dxa"/>
                  <w:tcBorders>
                    <w:top w:val="single" w:color="auto" w:sz="12" w:space="0"/>
                  </w:tcBorders>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tcBorders>
                    <w:top w:val="single" w:color="auto" w:sz="12" w:space="0"/>
                  </w:tcBorders>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vAlign w:val="center"/>
                </w:tcPr>
                <w:p>
                  <w:pPr>
                    <w:spacing w:line="240" w:lineRule="exact"/>
                    <w:jc w:val="center"/>
                    <w:rPr>
                      <w:rStyle w:val="105"/>
                      <w:b w:val="0"/>
                      <w:color w:val="000000" w:themeColor="text1"/>
                      <w:sz w:val="18"/>
                      <w:szCs w:val="18"/>
                      <w14:textFill>
                        <w14:solidFill>
                          <w14:schemeClr w14:val="tx1"/>
                        </w14:solidFill>
                      </w14:textFill>
                    </w:rPr>
                  </w:pP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w:t>
                  </w:r>
                  <w:r>
                    <w:rPr>
                      <w:rFonts w:hint="eastAsia"/>
                      <w:sz w:val="18"/>
                      <w:szCs w:val="18"/>
                    </w:rPr>
                    <w:t>南</w:t>
                  </w:r>
                  <w:r>
                    <w:rPr>
                      <w:sz w:val="18"/>
                      <w:szCs w:val="18"/>
                    </w:rPr>
                    <w:t>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54.4</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45.6</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vAlign w:val="center"/>
                </w:tcPr>
                <w:p>
                  <w:pPr>
                    <w:spacing w:line="240" w:lineRule="exact"/>
                    <w:jc w:val="center"/>
                    <w:rPr>
                      <w:rStyle w:val="105"/>
                      <w:b w:val="0"/>
                      <w:color w:val="000000" w:themeColor="text1"/>
                      <w:sz w:val="18"/>
                      <w:szCs w:val="18"/>
                      <w14:textFill>
                        <w14:solidFill>
                          <w14:schemeClr w14:val="tx1"/>
                        </w14:solidFill>
                      </w14:textFill>
                    </w:rPr>
                  </w:pP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厂界西侧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53.2</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46.8</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vAlign w:val="center"/>
                </w:tcPr>
                <w:p>
                  <w:pPr>
                    <w:spacing w:line="240" w:lineRule="exact"/>
                    <w:jc w:val="center"/>
                    <w:rPr>
                      <w:rStyle w:val="105"/>
                      <w:b w:val="0"/>
                      <w:color w:val="000000" w:themeColor="text1"/>
                      <w:sz w:val="18"/>
                      <w:szCs w:val="18"/>
                      <w14:textFill>
                        <w14:solidFill>
                          <w14:schemeClr w14:val="tx1"/>
                        </w14:solidFill>
                      </w14:textFill>
                    </w:rPr>
                  </w:pP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厂界北侧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53.8</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44.3</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restart"/>
                  <w:vAlign w:val="center"/>
                </w:tcPr>
                <w:p>
                  <w:pPr>
                    <w:ind w:left="-105" w:leftChars="-50" w:right="-105" w:rightChars="-50"/>
                    <w:jc w:val="center"/>
                    <w:rPr>
                      <w:rStyle w:val="105"/>
                      <w:b w:val="0"/>
                      <w:color w:val="000000" w:themeColor="text1"/>
                      <w:sz w:val="18"/>
                      <w:szCs w:val="18"/>
                      <w14:textFill>
                        <w14:solidFill>
                          <w14:schemeClr w14:val="tx1"/>
                        </w14:solidFill>
                      </w14:textFill>
                    </w:rPr>
                  </w:pPr>
                  <w:r>
                    <w:rPr>
                      <w:sz w:val="18"/>
                      <w:szCs w:val="18"/>
                    </w:rPr>
                    <w:t>202</w:t>
                  </w:r>
                  <w:r>
                    <w:rPr>
                      <w:rFonts w:hint="eastAsia"/>
                      <w:sz w:val="18"/>
                      <w:szCs w:val="18"/>
                    </w:rPr>
                    <w:t>2</w:t>
                  </w:r>
                  <w:r>
                    <w:rPr>
                      <w:sz w:val="18"/>
                      <w:szCs w:val="18"/>
                    </w:rPr>
                    <w:t>/</w:t>
                  </w:r>
                  <w:r>
                    <w:rPr>
                      <w:rFonts w:hint="eastAsia"/>
                      <w:sz w:val="18"/>
                      <w:szCs w:val="18"/>
                    </w:rPr>
                    <w:t>3</w:t>
                  </w:r>
                  <w:r>
                    <w:rPr>
                      <w:sz w:val="18"/>
                      <w:szCs w:val="18"/>
                    </w:rPr>
                    <w:t>/</w:t>
                  </w:r>
                  <w:r>
                    <w:rPr>
                      <w:rFonts w:hint="eastAsia"/>
                      <w:sz w:val="18"/>
                      <w:szCs w:val="18"/>
                    </w:rPr>
                    <w:t>10</w:t>
                  </w: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厂界东侧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53.2</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44.8</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vAlign w:val="center"/>
                </w:tcPr>
                <w:p>
                  <w:pPr>
                    <w:spacing w:line="240" w:lineRule="exact"/>
                    <w:jc w:val="center"/>
                    <w:rPr>
                      <w:rStyle w:val="105"/>
                      <w:b w:val="0"/>
                      <w:color w:val="000000" w:themeColor="text1"/>
                      <w:sz w:val="18"/>
                      <w:szCs w:val="18"/>
                      <w14:textFill>
                        <w14:solidFill>
                          <w14:schemeClr w14:val="tx1"/>
                        </w14:solidFill>
                      </w14:textFill>
                    </w:rPr>
                  </w:pP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w:t>
                  </w:r>
                  <w:r>
                    <w:rPr>
                      <w:rFonts w:hint="eastAsia"/>
                      <w:sz w:val="18"/>
                      <w:szCs w:val="18"/>
                    </w:rPr>
                    <w:t>南</w:t>
                  </w:r>
                  <w:r>
                    <w:rPr>
                      <w:sz w:val="18"/>
                      <w:szCs w:val="18"/>
                    </w:rPr>
                    <w:t>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54.3</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45.9</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vAlign w:val="center"/>
                </w:tcPr>
                <w:p>
                  <w:pPr>
                    <w:spacing w:line="240" w:lineRule="exact"/>
                    <w:jc w:val="center"/>
                    <w:rPr>
                      <w:rStyle w:val="105"/>
                      <w:b w:val="0"/>
                      <w:color w:val="000000" w:themeColor="text1"/>
                      <w:sz w:val="18"/>
                      <w:szCs w:val="18"/>
                      <w14:textFill>
                        <w14:solidFill>
                          <w14:schemeClr w14:val="tx1"/>
                        </w14:solidFill>
                      </w14:textFill>
                    </w:rPr>
                  </w:pP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厂界西侧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53.6</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44.8</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97" w:type="dxa"/>
                  <w:vMerge w:val="continue"/>
                  <w:vAlign w:val="center"/>
                </w:tcPr>
                <w:p>
                  <w:pPr>
                    <w:spacing w:line="240" w:lineRule="exact"/>
                    <w:jc w:val="center"/>
                    <w:rPr>
                      <w:rStyle w:val="105"/>
                      <w:b w:val="0"/>
                      <w:color w:val="000000" w:themeColor="text1"/>
                      <w:sz w:val="18"/>
                      <w:szCs w:val="18"/>
                      <w14:textFill>
                        <w14:solidFill>
                          <w14:schemeClr w14:val="tx1"/>
                        </w14:solidFill>
                      </w14:textFill>
                    </w:rPr>
                  </w:pPr>
                </w:p>
              </w:tc>
              <w:tc>
                <w:tcPr>
                  <w:tcW w:w="70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1356" w:type="dxa"/>
                  <w:vAlign w:val="center"/>
                </w:tcPr>
                <w:p>
                  <w:pPr>
                    <w:ind w:left="-105" w:leftChars="-50" w:right="-105" w:rightChars="-50"/>
                    <w:jc w:val="center"/>
                    <w:rPr>
                      <w:color w:val="000000" w:themeColor="text1"/>
                      <w:sz w:val="18"/>
                      <w:szCs w:val="18"/>
                      <w14:textFill>
                        <w14:solidFill>
                          <w14:schemeClr w14:val="tx1"/>
                        </w14:solidFill>
                      </w14:textFill>
                    </w:rPr>
                  </w:pPr>
                  <w:r>
                    <w:rPr>
                      <w:sz w:val="18"/>
                      <w:szCs w:val="18"/>
                    </w:rPr>
                    <w:t>厂界北侧</w:t>
                  </w:r>
                </w:p>
              </w:tc>
              <w:tc>
                <w:tcPr>
                  <w:tcW w:w="832"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53.8</w:t>
                  </w:r>
                </w:p>
              </w:tc>
              <w:tc>
                <w:tcPr>
                  <w:tcW w:w="961"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65</w:t>
                  </w:r>
                </w:p>
              </w:tc>
              <w:tc>
                <w:tcPr>
                  <w:tcW w:w="959" w:type="dxa"/>
                  <w:vAlign w:val="center"/>
                </w:tcPr>
                <w:p>
                  <w:pPr>
                    <w:spacing w:line="240" w:lineRule="exact"/>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达标</w:t>
                  </w:r>
                </w:p>
              </w:tc>
              <w:tc>
                <w:tcPr>
                  <w:tcW w:w="1097"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46.5</w:t>
                  </w:r>
                </w:p>
              </w:tc>
              <w:tc>
                <w:tcPr>
                  <w:tcW w:w="956" w:type="dxa"/>
                  <w:vAlign w:val="center"/>
                </w:tcPr>
                <w:p>
                  <w:pPr>
                    <w:spacing w:line="240" w:lineRule="exact"/>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55</w:t>
                  </w:r>
                </w:p>
              </w:tc>
              <w:tc>
                <w:tcPr>
                  <w:tcW w:w="1111" w:type="dxa"/>
                  <w:vAlign w:val="center"/>
                </w:tcPr>
                <w:p>
                  <w:pPr>
                    <w:spacing w:line="24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达标</w:t>
                  </w:r>
                </w:p>
              </w:tc>
            </w:tr>
          </w:tbl>
          <w:p>
            <w:pPr>
              <w:spacing w:line="42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表7-</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表明，</w:t>
            </w:r>
            <w:r>
              <w:rPr>
                <w:sz w:val="24"/>
              </w:rPr>
              <w:t>验收监测期间，</w:t>
            </w:r>
            <w:r>
              <w:rPr>
                <w:color w:val="000000" w:themeColor="text1"/>
                <w:sz w:val="24"/>
                <w14:textFill>
                  <w14:solidFill>
                    <w14:schemeClr w14:val="tx1"/>
                  </w14:solidFill>
                </w14:textFill>
              </w:rPr>
              <w:t>项目东、南、西、北测厂界噪声均满足《工业企业厂界环境噪声排放标准》（GB 12348-2008）中</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类标准限值要求。</w:t>
            </w:r>
          </w:p>
          <w:p>
            <w:pPr>
              <w:pStyle w:val="23"/>
              <w:spacing w:after="0"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7.2.4总量控制分析</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根据国家对实施污染物排放总量控制的要求以及</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污染物排放特点，确定</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污染物排放总量控制因子为废水为COD、NH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-N两项，废气为VOCs一项。项目不属于工业项目，且污水可排入豹澥污水处理厂处理达标后排放，因此</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不需申请COD、NH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-N总量控制指标。</w:t>
            </w:r>
            <w:r>
              <w:rPr>
                <w:rFonts w:hint="eastAsia"/>
                <w:bCs/>
                <w:sz w:val="24"/>
              </w:rPr>
              <w:t>项目</w:t>
            </w:r>
            <w:r>
              <w:rPr>
                <w:bCs/>
                <w:sz w:val="24"/>
              </w:rPr>
              <w:t>VOC</w:t>
            </w:r>
            <w:r>
              <w:rPr>
                <w:bCs/>
                <w:sz w:val="24"/>
                <w:vertAlign w:val="subscript"/>
              </w:rPr>
              <w:t>S</w:t>
            </w:r>
            <w:r>
              <w:rPr>
                <w:bCs/>
                <w:sz w:val="24"/>
              </w:rPr>
              <w:t>总量控制指标为0.00675t/a，</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验收监测结果显示，项目运营期</w:t>
            </w:r>
            <w:r>
              <w:rPr>
                <w:bCs/>
                <w:sz w:val="24"/>
              </w:rPr>
              <w:t>VOC</w:t>
            </w:r>
            <w:r>
              <w:rPr>
                <w:bCs/>
                <w:sz w:val="24"/>
                <w:vertAlign w:val="subscript"/>
              </w:rPr>
              <w:t>S</w:t>
            </w:r>
            <w:r>
              <w:rPr>
                <w:color w:val="000000" w:themeColor="text1"/>
                <w:sz w:val="24"/>
                <w14:textFill>
                  <w14:solidFill>
                    <w14:schemeClr w14:val="tx1"/>
                  </w14:solidFill>
                </w14:textFill>
              </w:rPr>
              <w:t>实际排放量</w:t>
            </w:r>
            <w:r>
              <w:rPr>
                <w:rFonts w:hint="eastAsia"/>
                <w:color w:val="000000" w:themeColor="text1"/>
                <w:sz w:val="24"/>
                <w14:textFill>
                  <w14:solidFill>
                    <w14:schemeClr w14:val="tx1"/>
                  </w14:solidFill>
                </w14:textFill>
              </w:rPr>
              <w:t>为0.00162t</w:t>
            </w:r>
            <w:r>
              <w:rPr>
                <w:color w:val="000000" w:themeColor="text1"/>
                <w:sz w:val="24"/>
                <w14:textFill>
                  <w14:solidFill>
                    <w14:schemeClr w14:val="tx1"/>
                  </w14:solidFill>
                </w14:textFill>
              </w:rPr>
              <w:t>/a，满足项目环评核算的总量控制范围。</w:t>
            </w:r>
          </w:p>
          <w:p>
            <w:pPr>
              <w:spacing w:line="4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废气中</w:t>
            </w:r>
            <w:r>
              <w:rPr>
                <w:rFonts w:hint="eastAsia"/>
                <w:color w:val="000000" w:themeColor="text1"/>
                <w:sz w:val="24"/>
                <w14:textFill>
                  <w14:solidFill>
                    <w14:schemeClr w14:val="tx1"/>
                  </w14:solidFill>
                </w14:textFill>
              </w:rPr>
              <w:t>VOCs</w:t>
            </w:r>
            <w:r>
              <w:rPr>
                <w:color w:val="000000" w:themeColor="text1"/>
                <w:sz w:val="24"/>
                <w14:textFill>
                  <w14:solidFill>
                    <w14:schemeClr w14:val="tx1"/>
                  </w14:solidFill>
                </w14:textFill>
              </w:rPr>
              <w:t>总量计算如下：</w:t>
            </w:r>
          </w:p>
          <w:p>
            <w:pPr>
              <w:pStyle w:val="119"/>
              <w:rPr>
                <w:sz w:val="21"/>
                <w:szCs w:val="21"/>
              </w:rPr>
            </w:pPr>
            <w:r>
              <w:rPr>
                <w:color w:val="000000"/>
              </w:rPr>
              <w:t>废气排放总量计算公式：Gi=Ci×N×10</w:t>
            </w:r>
            <w:r>
              <w:rPr>
                <w:color w:val="000000"/>
                <w:vertAlign w:val="superscript"/>
              </w:rPr>
              <w:t>-3</w:t>
            </w:r>
            <w:r>
              <w:rPr>
                <w:color w:val="000000"/>
              </w:rPr>
              <w:t>，式中：Gi-污染物排放总量（t/a）；Ci-污染物排放速率（kg/h）；N-全年废气污染物年排放时间（h/a）。</w:t>
            </w:r>
          </w:p>
          <w:p>
            <w:pPr>
              <w:pStyle w:val="68"/>
              <w:rPr>
                <w:rFonts w:ascii="Times New Roman" w:hAnsi="Times New Roman"/>
                <w:sz w:val="21"/>
                <w:szCs w:val="21"/>
              </w:rPr>
            </w:pPr>
            <w:r>
              <w:rPr>
                <w:rFonts w:ascii="Times New Roman" w:hAnsi="Times New Roman"/>
                <w:sz w:val="21"/>
                <w:szCs w:val="21"/>
              </w:rPr>
              <w:t>表7-</w:t>
            </w:r>
            <w:r>
              <w:rPr>
                <w:rFonts w:hint="eastAsia" w:ascii="Times New Roman" w:hAnsi="Times New Roman"/>
                <w:sz w:val="21"/>
                <w:szCs w:val="21"/>
              </w:rPr>
              <w:t>4</w:t>
            </w:r>
            <w:r>
              <w:rPr>
                <w:rFonts w:ascii="Times New Roman" w:hAnsi="Times New Roman"/>
                <w:sz w:val="21"/>
                <w:szCs w:val="21"/>
              </w:rPr>
              <w:t>项目废气污染物年排放量统计表</w:t>
            </w:r>
          </w:p>
          <w:tbl>
            <w:tblPr>
              <w:tblStyle w:val="2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839"/>
              <w:gridCol w:w="1419"/>
              <w:gridCol w:w="1379"/>
              <w:gridCol w:w="1660"/>
              <w:gridCol w:w="13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82" w:type="pct"/>
                  <w:tcBorders>
                    <w:top w:val="single" w:color="auto" w:sz="12" w:space="0"/>
                    <w:bottom w:val="single" w:color="auto" w:sz="8" w:space="0"/>
                  </w:tcBorders>
                  <w:vAlign w:val="center"/>
                </w:tcPr>
                <w:p>
                  <w:pPr>
                    <w:widowControl/>
                    <w:jc w:val="center"/>
                    <w:rPr>
                      <w:b/>
                      <w:bCs/>
                      <w:color w:val="000000"/>
                      <w:kern w:val="0"/>
                      <w:sz w:val="18"/>
                      <w:szCs w:val="18"/>
                    </w:rPr>
                  </w:pPr>
                  <w:r>
                    <w:rPr>
                      <w:b/>
                      <w:bCs/>
                      <w:color w:val="000000"/>
                      <w:kern w:val="0"/>
                      <w:sz w:val="18"/>
                      <w:szCs w:val="18"/>
                    </w:rPr>
                    <w:t>项目</w:t>
                  </w:r>
                </w:p>
              </w:tc>
              <w:tc>
                <w:tcPr>
                  <w:tcW w:w="1014" w:type="pct"/>
                  <w:tcBorders>
                    <w:top w:val="single" w:color="auto" w:sz="12" w:space="0"/>
                    <w:bottom w:val="single" w:color="auto" w:sz="8" w:space="0"/>
                  </w:tcBorders>
                  <w:vAlign w:val="center"/>
                </w:tcPr>
                <w:p>
                  <w:pPr>
                    <w:jc w:val="center"/>
                    <w:rPr>
                      <w:b/>
                      <w:bCs/>
                      <w:color w:val="000000"/>
                      <w:sz w:val="18"/>
                      <w:szCs w:val="18"/>
                    </w:rPr>
                  </w:pPr>
                  <w:r>
                    <w:rPr>
                      <w:b/>
                      <w:bCs/>
                      <w:color w:val="000000"/>
                      <w:sz w:val="18"/>
                      <w:szCs w:val="18"/>
                    </w:rPr>
                    <w:t>排放速率（kg/h）</w:t>
                  </w:r>
                </w:p>
              </w:tc>
              <w:tc>
                <w:tcPr>
                  <w:tcW w:w="782" w:type="pct"/>
                  <w:tcBorders>
                    <w:top w:val="single" w:color="auto" w:sz="12" w:space="0"/>
                    <w:bottom w:val="single" w:color="auto" w:sz="8" w:space="0"/>
                  </w:tcBorders>
                  <w:vAlign w:val="center"/>
                </w:tcPr>
                <w:p>
                  <w:pPr>
                    <w:widowControl/>
                    <w:jc w:val="center"/>
                    <w:rPr>
                      <w:b/>
                      <w:bCs/>
                      <w:color w:val="000000"/>
                      <w:kern w:val="0"/>
                      <w:sz w:val="18"/>
                      <w:szCs w:val="18"/>
                    </w:rPr>
                  </w:pPr>
                  <w:r>
                    <w:rPr>
                      <w:b/>
                      <w:bCs/>
                      <w:color w:val="000000"/>
                      <w:kern w:val="0"/>
                      <w:sz w:val="18"/>
                      <w:szCs w:val="18"/>
                    </w:rPr>
                    <w:t>年排放时间（h）</w:t>
                  </w:r>
                </w:p>
              </w:tc>
              <w:tc>
                <w:tcPr>
                  <w:tcW w:w="760" w:type="pct"/>
                  <w:tcBorders>
                    <w:top w:val="single" w:color="auto" w:sz="12" w:space="0"/>
                    <w:bottom w:val="single" w:color="auto" w:sz="8" w:space="0"/>
                  </w:tcBorders>
                  <w:vAlign w:val="center"/>
                </w:tcPr>
                <w:p>
                  <w:pPr>
                    <w:widowControl/>
                    <w:jc w:val="center"/>
                    <w:rPr>
                      <w:b/>
                      <w:bCs/>
                      <w:color w:val="000000"/>
                      <w:kern w:val="0"/>
                      <w:sz w:val="18"/>
                      <w:szCs w:val="18"/>
                    </w:rPr>
                  </w:pPr>
                  <w:r>
                    <w:rPr>
                      <w:b/>
                      <w:bCs/>
                      <w:color w:val="000000"/>
                      <w:sz w:val="18"/>
                      <w:szCs w:val="18"/>
                    </w:rPr>
                    <w:t>年排放量</w:t>
                  </w:r>
                  <w:r>
                    <w:rPr>
                      <w:b/>
                      <w:bCs/>
                      <w:color w:val="000000"/>
                      <w:kern w:val="0"/>
                      <w:sz w:val="18"/>
                      <w:szCs w:val="18"/>
                    </w:rPr>
                    <w:t>(t/a)</w:t>
                  </w:r>
                </w:p>
              </w:tc>
              <w:tc>
                <w:tcPr>
                  <w:tcW w:w="915" w:type="pct"/>
                  <w:tcBorders>
                    <w:top w:val="single" w:color="auto" w:sz="12" w:space="0"/>
                    <w:bottom w:val="single" w:color="auto" w:sz="8" w:space="0"/>
                  </w:tcBorders>
                  <w:vAlign w:val="center"/>
                </w:tcPr>
                <w:p>
                  <w:pPr>
                    <w:widowControl/>
                    <w:jc w:val="center"/>
                    <w:rPr>
                      <w:b/>
                      <w:bCs/>
                      <w:color w:val="000000"/>
                      <w:sz w:val="18"/>
                      <w:szCs w:val="18"/>
                    </w:rPr>
                  </w:pPr>
                  <w:r>
                    <w:rPr>
                      <w:b/>
                      <w:bCs/>
                      <w:color w:val="000000"/>
                      <w:kern w:val="0"/>
                      <w:sz w:val="18"/>
                      <w:szCs w:val="18"/>
                    </w:rPr>
                    <w:t>总量控制目标(t/a)</w:t>
                  </w:r>
                </w:p>
              </w:tc>
              <w:tc>
                <w:tcPr>
                  <w:tcW w:w="744" w:type="pct"/>
                  <w:tcBorders>
                    <w:top w:val="single" w:color="auto" w:sz="12" w:space="0"/>
                    <w:bottom w:val="single" w:color="auto" w:sz="8" w:space="0"/>
                  </w:tcBorders>
                  <w:vAlign w:val="center"/>
                </w:tcPr>
                <w:p>
                  <w:pPr>
                    <w:widowControl/>
                    <w:spacing w:line="240" w:lineRule="exact"/>
                    <w:jc w:val="center"/>
                    <w:rPr>
                      <w:b/>
                      <w:bCs/>
                      <w:color w:val="000000"/>
                      <w:kern w:val="0"/>
                      <w:sz w:val="18"/>
                      <w:szCs w:val="18"/>
                    </w:rPr>
                  </w:pPr>
                  <w:r>
                    <w:rPr>
                      <w:b/>
                      <w:bCs/>
                      <w:color w:val="000000"/>
                      <w:kern w:val="0"/>
                      <w:sz w:val="18"/>
                      <w:szCs w:val="18"/>
                    </w:rPr>
                    <w:t>达标评价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pct"/>
                  <w:tcBorders>
                    <w:top w:val="single" w:color="auto" w:sz="8" w:space="0"/>
                    <w:bottom w:val="single" w:color="auto" w:sz="8" w:space="0"/>
                    <w:right w:val="single" w:color="auto" w:sz="8" w:space="0"/>
                  </w:tcBorders>
                  <w:vAlign w:val="center"/>
                </w:tcPr>
                <w:p>
                  <w:pPr>
                    <w:widowControl/>
                    <w:jc w:val="center"/>
                    <w:rPr>
                      <w:color w:val="000000"/>
                      <w:kern w:val="0"/>
                      <w:sz w:val="18"/>
                      <w:szCs w:val="18"/>
                    </w:rPr>
                  </w:pPr>
                  <w:r>
                    <w:rPr>
                      <w:rFonts w:hint="eastAsia"/>
                      <w:color w:val="000000"/>
                      <w:kern w:val="0"/>
                      <w:sz w:val="18"/>
                      <w:szCs w:val="18"/>
                    </w:rPr>
                    <w:t>VOCs</w:t>
                  </w:r>
                </w:p>
              </w:tc>
              <w:tc>
                <w:tcPr>
                  <w:tcW w:w="1014" w:type="pct"/>
                  <w:tcBorders>
                    <w:top w:val="single" w:color="auto" w:sz="8" w:space="0"/>
                    <w:left w:val="single" w:color="auto" w:sz="8" w:space="0"/>
                    <w:bottom w:val="single" w:color="auto" w:sz="8" w:space="0"/>
                    <w:right w:val="single" w:color="auto" w:sz="8" w:space="0"/>
                  </w:tcBorders>
                  <w:vAlign w:val="center"/>
                </w:tcPr>
                <w:p>
                  <w:pPr>
                    <w:jc w:val="center"/>
                    <w:rPr>
                      <w:color w:val="000000"/>
                      <w:sz w:val="18"/>
                      <w:szCs w:val="18"/>
                    </w:rPr>
                  </w:pPr>
                  <w:r>
                    <w:rPr>
                      <w:rFonts w:hint="eastAsia"/>
                      <w:color w:val="000000"/>
                      <w:sz w:val="18"/>
                      <w:szCs w:val="18"/>
                    </w:rPr>
                    <w:t>0.00325</w:t>
                  </w:r>
                </w:p>
              </w:tc>
              <w:tc>
                <w:tcPr>
                  <w:tcW w:w="782" w:type="pct"/>
                  <w:tcBorders>
                    <w:top w:val="single" w:color="auto" w:sz="8" w:space="0"/>
                    <w:left w:val="single" w:color="auto" w:sz="8" w:space="0"/>
                    <w:bottom w:val="single" w:color="auto" w:sz="8" w:space="0"/>
                    <w:right w:val="single" w:color="auto" w:sz="8" w:space="0"/>
                  </w:tcBorders>
                  <w:vAlign w:val="center"/>
                </w:tcPr>
                <w:p>
                  <w:pPr>
                    <w:widowControl/>
                    <w:jc w:val="center"/>
                    <w:rPr>
                      <w:color w:val="000000"/>
                      <w:kern w:val="0"/>
                      <w:sz w:val="18"/>
                      <w:szCs w:val="18"/>
                    </w:rPr>
                  </w:pPr>
                  <w:r>
                    <w:rPr>
                      <w:rFonts w:hint="eastAsia"/>
                      <w:color w:val="000000"/>
                      <w:kern w:val="0"/>
                      <w:sz w:val="18"/>
                      <w:szCs w:val="18"/>
                    </w:rPr>
                    <w:t>500</w:t>
                  </w:r>
                </w:p>
              </w:tc>
              <w:tc>
                <w:tcPr>
                  <w:tcW w:w="760" w:type="pct"/>
                  <w:tcBorders>
                    <w:top w:val="single" w:color="auto" w:sz="8" w:space="0"/>
                    <w:left w:val="single" w:color="auto" w:sz="8" w:space="0"/>
                    <w:bottom w:val="single" w:color="auto" w:sz="8" w:space="0"/>
                    <w:right w:val="single" w:color="auto" w:sz="8" w:space="0"/>
                  </w:tcBorders>
                  <w:vAlign w:val="center"/>
                </w:tcPr>
                <w:p>
                  <w:pPr>
                    <w:widowControl/>
                    <w:jc w:val="center"/>
                    <w:rPr>
                      <w:color w:val="000000"/>
                      <w:kern w:val="0"/>
                      <w:sz w:val="18"/>
                      <w:szCs w:val="18"/>
                    </w:rPr>
                  </w:pPr>
                  <w:r>
                    <w:rPr>
                      <w:rFonts w:hint="eastAsia"/>
                      <w:color w:val="000000"/>
                      <w:kern w:val="0"/>
                      <w:sz w:val="18"/>
                      <w:szCs w:val="18"/>
                    </w:rPr>
                    <w:t>0.00162</w:t>
                  </w:r>
                </w:p>
              </w:tc>
              <w:tc>
                <w:tcPr>
                  <w:tcW w:w="915" w:type="pct"/>
                  <w:tcBorders>
                    <w:top w:val="single" w:color="auto" w:sz="8" w:space="0"/>
                    <w:left w:val="single" w:color="auto" w:sz="8" w:space="0"/>
                    <w:bottom w:val="single" w:color="auto" w:sz="8" w:space="0"/>
                    <w:right w:val="single" w:color="auto" w:sz="8" w:space="0"/>
                  </w:tcBorders>
                  <w:vAlign w:val="center"/>
                </w:tcPr>
                <w:p>
                  <w:pPr>
                    <w:widowControl/>
                    <w:jc w:val="center"/>
                    <w:rPr>
                      <w:color w:val="000000"/>
                      <w:kern w:val="0"/>
                      <w:sz w:val="18"/>
                      <w:szCs w:val="18"/>
                    </w:rPr>
                  </w:pPr>
                  <w:r>
                    <w:rPr>
                      <w:rFonts w:hint="eastAsia"/>
                      <w:color w:val="000000"/>
                      <w:kern w:val="0"/>
                      <w:sz w:val="18"/>
                      <w:szCs w:val="18"/>
                    </w:rPr>
                    <w:t>0.00675</w:t>
                  </w:r>
                </w:p>
              </w:tc>
              <w:tc>
                <w:tcPr>
                  <w:tcW w:w="744" w:type="pct"/>
                  <w:tcBorders>
                    <w:top w:val="single" w:color="auto" w:sz="8" w:space="0"/>
                    <w:left w:val="single" w:color="auto" w:sz="8" w:space="0"/>
                    <w:bottom w:val="single" w:color="auto" w:sz="8" w:space="0"/>
                  </w:tcBorders>
                  <w:vAlign w:val="center"/>
                </w:tcPr>
                <w:p>
                  <w:pPr>
                    <w:widowControl/>
                    <w:jc w:val="center"/>
                    <w:rPr>
                      <w:color w:val="000000"/>
                      <w:kern w:val="0"/>
                      <w:sz w:val="18"/>
                      <w:szCs w:val="18"/>
                    </w:rPr>
                  </w:pPr>
                  <w:r>
                    <w:rPr>
                      <w:color w:val="000000"/>
                      <w:kern w:val="0"/>
                      <w:sz w:val="18"/>
                      <w:szCs w:val="18"/>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82" w:type="pct"/>
                  <w:tcBorders>
                    <w:top w:val="single" w:color="auto" w:sz="8" w:space="0"/>
                    <w:bottom w:val="single" w:color="auto" w:sz="12" w:space="0"/>
                  </w:tcBorders>
                  <w:vAlign w:val="center"/>
                </w:tcPr>
                <w:p>
                  <w:pPr>
                    <w:widowControl/>
                    <w:jc w:val="center"/>
                    <w:rPr>
                      <w:color w:val="000000"/>
                      <w:kern w:val="0"/>
                      <w:sz w:val="18"/>
                      <w:szCs w:val="18"/>
                    </w:rPr>
                  </w:pPr>
                  <w:r>
                    <w:rPr>
                      <w:color w:val="000000"/>
                      <w:kern w:val="0"/>
                      <w:sz w:val="18"/>
                      <w:szCs w:val="18"/>
                    </w:rPr>
                    <w:t>备注</w:t>
                  </w:r>
                </w:p>
              </w:tc>
              <w:tc>
                <w:tcPr>
                  <w:tcW w:w="4217" w:type="pct"/>
                  <w:gridSpan w:val="5"/>
                  <w:tcBorders>
                    <w:top w:val="single" w:color="auto" w:sz="8" w:space="0"/>
                    <w:bottom w:val="single" w:color="auto" w:sz="12" w:space="0"/>
                  </w:tcBorders>
                  <w:shd w:val="clear" w:color="auto" w:fill="auto"/>
                  <w:vAlign w:val="center"/>
                </w:tcPr>
                <w:p>
                  <w:pPr>
                    <w:widowControl/>
                    <w:jc w:val="left"/>
                    <w:rPr>
                      <w:color w:val="000000"/>
                      <w:kern w:val="0"/>
                      <w:sz w:val="18"/>
                      <w:szCs w:val="18"/>
                    </w:rPr>
                  </w:pPr>
                  <w:r>
                    <w:rPr>
                      <w:rFonts w:hint="eastAsia"/>
                      <w:color w:val="000000"/>
                      <w:kern w:val="0"/>
                      <w:sz w:val="18"/>
                      <w:szCs w:val="18"/>
                    </w:rPr>
                    <w:t>①废气污染物VOCs的监测结果均为未检出，排放浓度采用检出限的一半值进行总量核算；</w:t>
                  </w:r>
                </w:p>
                <w:p>
                  <w:pPr>
                    <w:widowControl/>
                    <w:jc w:val="left"/>
                    <w:rPr>
                      <w:color w:val="000000"/>
                      <w:kern w:val="0"/>
                      <w:sz w:val="18"/>
                      <w:szCs w:val="18"/>
                    </w:rPr>
                  </w:pPr>
                  <w:r>
                    <w:rPr>
                      <w:rFonts w:hint="eastAsia"/>
                      <w:color w:val="000000"/>
                      <w:kern w:val="0"/>
                      <w:sz w:val="18"/>
                      <w:szCs w:val="18"/>
                    </w:rPr>
                    <w:t>②废气污染物VOCs的排放速率均采用监测期间最大值计算；</w:t>
                  </w:r>
                </w:p>
                <w:p>
                  <w:pPr>
                    <w:widowControl/>
                    <w:jc w:val="left"/>
                    <w:rPr>
                      <w:color w:val="000000"/>
                      <w:kern w:val="0"/>
                      <w:sz w:val="18"/>
                      <w:szCs w:val="18"/>
                    </w:rPr>
                  </w:pPr>
                  <w:r>
                    <w:rPr>
                      <w:rFonts w:hint="eastAsia"/>
                      <w:color w:val="000000"/>
                      <w:kern w:val="0"/>
                      <w:sz w:val="18"/>
                      <w:szCs w:val="18"/>
                    </w:rPr>
                    <w:t>③根据企业提供的资料及环评报告表，实验室废气排放年运行时间为500小时；</w:t>
                  </w:r>
                </w:p>
                <w:p>
                  <w:pPr>
                    <w:widowControl/>
                    <w:jc w:val="left"/>
                    <w:rPr>
                      <w:color w:val="000000"/>
                      <w:kern w:val="0"/>
                      <w:sz w:val="18"/>
                      <w:szCs w:val="18"/>
                    </w:rPr>
                  </w:pPr>
                  <w:r>
                    <w:rPr>
                      <w:rFonts w:hint="eastAsia"/>
                      <w:color w:val="000000"/>
                      <w:kern w:val="0"/>
                      <w:sz w:val="18"/>
                      <w:szCs w:val="18"/>
                    </w:rPr>
                    <w:t>④根据环评报告工程分析章节，本项目挥发性有机物来源于检测实验，根据项目原辅料使用情况实验室使用的挥发性有机物的试剂主要为甲醇、乙醇，由于乙醇暂无监测分析方法，因此本次选取甲醇作为污染物监测因子，本项目VOCs以甲醇计。</w:t>
                  </w:r>
                </w:p>
              </w:tc>
            </w:tr>
          </w:tbl>
          <w:p>
            <w:pPr>
              <w:spacing w:line="360" w:lineRule="auto"/>
              <w:ind w:firstLine="480" w:firstLineChars="200"/>
              <w:rPr>
                <w:color w:val="000000" w:themeColor="text1"/>
                <w:sz w:val="24"/>
                <w:highlight w:val="yellow"/>
                <w14:textFill>
                  <w14:solidFill>
                    <w14:schemeClr w14:val="tx1"/>
                  </w14:solidFill>
                </w14:textFill>
              </w:rPr>
            </w:pPr>
          </w:p>
          <w:p>
            <w:pPr>
              <w:spacing w:line="360" w:lineRule="auto"/>
              <w:ind w:firstLine="480" w:firstLineChars="200"/>
              <w:rPr>
                <w:color w:val="000000" w:themeColor="text1"/>
                <w:sz w:val="24"/>
                <w:highlight w:val="yellow"/>
                <w14:textFill>
                  <w14:solidFill>
                    <w14:schemeClr w14:val="tx1"/>
                  </w14:solidFill>
                </w14:textFill>
              </w:rPr>
            </w:pPr>
          </w:p>
        </w:tc>
      </w:tr>
    </w:tbl>
    <w:p>
      <w:pPr>
        <w:pStyle w:val="5"/>
        <w:rPr>
          <w:rFonts w:ascii="Times New Roman" w:hAnsi="Times New Roman"/>
          <w:color w:val="000000" w:themeColor="text1"/>
          <w14:textFill>
            <w14:solidFill>
              <w14:schemeClr w14:val="tx1"/>
            </w14:solidFill>
          </w14:textFill>
        </w:rPr>
      </w:pPr>
      <w:bookmarkStart w:id="18" w:name="_Toc525552353"/>
      <w:bookmarkStart w:id="19" w:name="_Toc525552354"/>
      <w:r>
        <w:rPr>
          <w:rFonts w:ascii="Times New Roman" w:hAnsi="Times New Roman"/>
          <w:color w:val="000000" w:themeColor="text1"/>
          <w14:textFill>
            <w14:solidFill>
              <w14:schemeClr w14:val="tx1"/>
            </w14:solidFill>
          </w14:textFill>
        </w:rPr>
        <w:t>表八  环境管理检查结果</w:t>
      </w:r>
      <w:bookmarkEnd w:id="18"/>
    </w:p>
    <w:tbl>
      <w:tblPr>
        <w:tblStyle w:val="28"/>
        <w:tblW w:w="928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89" w:hRule="atLeast"/>
        </w:trPr>
        <w:tc>
          <w:tcPr>
            <w:tcW w:w="9286" w:type="dxa"/>
          </w:tcPr>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8.1建设项目执行国家建设项目环境管理制度情况</w:t>
            </w:r>
          </w:p>
          <w:p>
            <w:pPr>
              <w:spacing w:line="42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实施前进行了环境影响评价，项目在实施过程中基本执行了国家建设项目环境保护“三同时”制度。</w:t>
            </w:r>
          </w:p>
          <w:p>
            <w:pPr>
              <w:spacing w:line="360" w:lineRule="auto"/>
              <w:ind w:right="178" w:rightChars="85"/>
              <w:rPr>
                <w:rFonts w:eastAsia="黑体"/>
                <w:color w:val="000000" w:themeColor="text1"/>
                <w:sz w:val="24"/>
                <w14:textFill>
                  <w14:solidFill>
                    <w14:schemeClr w14:val="tx1"/>
                  </w14:solidFill>
                </w14:textFill>
              </w:rPr>
            </w:pPr>
            <w:bookmarkStart w:id="20" w:name="_Toc525886904"/>
            <w:bookmarkStart w:id="21" w:name="_Toc512016426"/>
            <w:bookmarkStart w:id="22" w:name="_Toc48468085"/>
            <w:bookmarkStart w:id="23" w:name="_Toc71787392"/>
            <w:r>
              <w:rPr>
                <w:rFonts w:eastAsia="黑体"/>
                <w:color w:val="000000" w:themeColor="text1"/>
                <w:sz w:val="24"/>
                <w14:textFill>
                  <w14:solidFill>
                    <w14:schemeClr w14:val="tx1"/>
                  </w14:solidFill>
                </w14:textFill>
              </w:rPr>
              <w:t>8.2建设项目环保设施实际完成情况</w:t>
            </w:r>
            <w:bookmarkEnd w:id="20"/>
            <w:bookmarkEnd w:id="21"/>
            <w:bookmarkEnd w:id="22"/>
            <w:bookmarkEnd w:id="23"/>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基本落实了环评报告表中提出的各项污染防治对策，并对污染源采取了相应防治措施。</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8.3环境保护档案管理情况</w:t>
            </w:r>
          </w:p>
          <w:p>
            <w:pPr>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项目</w:t>
            </w:r>
            <w:r>
              <w:rPr>
                <w:bCs/>
                <w:snapToGrid w:val="0"/>
                <w:color w:val="000000" w:themeColor="text1"/>
                <w:kern w:val="0"/>
                <w:sz w:val="24"/>
                <w14:textFill>
                  <w14:solidFill>
                    <w14:schemeClr w14:val="tx1"/>
                  </w14:solidFill>
                </w14:textFill>
              </w:rPr>
              <w:t>建立了较为完善的环保档案管理制度，各类环保档案由专职人员进行管理。</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8.4环境保护管理规章制度的建立及执行情况</w:t>
            </w:r>
          </w:p>
          <w:p>
            <w:pPr>
              <w:pStyle w:val="23"/>
              <w:spacing w:after="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由武汉光谷生物医药产业园发展有限公司进行物业管理，设有环保兼职人员，制定明确的环保责任制，对环境保护与各类设备实施统一管理。并定期对职工进行环境教育和环保规范化管理的培训。</w:t>
            </w:r>
          </w:p>
          <w:p>
            <w:pPr>
              <w:spacing w:line="360" w:lineRule="auto"/>
              <w:ind w:right="178" w:rightChars="85"/>
              <w:rPr>
                <w:rFonts w:eastAsia="黑体"/>
                <w:color w:val="000000" w:themeColor="text1"/>
                <w:sz w:val="24"/>
                <w14:textFill>
                  <w14:solidFill>
                    <w14:schemeClr w14:val="tx1"/>
                  </w14:solidFill>
                </w14:textFill>
              </w:rPr>
            </w:pPr>
            <w:bookmarkStart w:id="24" w:name="_Toc525886907"/>
            <w:bookmarkStart w:id="25" w:name="_Toc512016429"/>
            <w:r>
              <w:rPr>
                <w:rFonts w:eastAsia="黑体"/>
                <w:color w:val="000000" w:themeColor="text1"/>
                <w:sz w:val="24"/>
                <w14:textFill>
                  <w14:solidFill>
                    <w14:schemeClr w14:val="tx1"/>
                  </w14:solidFill>
                </w14:textFill>
              </w:rPr>
              <w:t>8.5固体废物的处置和回收利用情况</w:t>
            </w:r>
            <w:bookmarkEnd w:id="24"/>
            <w:bookmarkEnd w:id="25"/>
          </w:p>
          <w:p>
            <w:pPr>
              <w:spacing w:line="360" w:lineRule="auto"/>
              <w:ind w:firstLine="480" w:firstLineChars="200"/>
              <w:rPr>
                <w:sz w:val="24"/>
              </w:rPr>
            </w:pPr>
            <w:r>
              <w:rPr>
                <w:rFonts w:hint="eastAsia"/>
                <w:sz w:val="24"/>
              </w:rPr>
              <w:t>项目</w:t>
            </w:r>
            <w:r>
              <w:rPr>
                <w:sz w:val="24"/>
              </w:rPr>
              <w:t>产生的固体废物主要为生活垃圾、一般工业固体废物和危险废物。其中生活垃圾交由环卫部门清运处理，一般工业固体废物主要包括生产组装过程中产生的废复合包装材料、纯水制备设备里面的滤芯等，废复合包装材料交由环卫部门清运处理，纯水制备设备里面的滤芯由纯水制备系统厂家回收，危险废物主要为实验废液（含废培养液、废缓冲液及残液等）、废实验器具和废弃的试剂包装容器及废活性炭等，均暂存于危废间，定期委托华新环境工程（武穴）有限公司安全处置。</w:t>
            </w:r>
          </w:p>
          <w:p>
            <w:pPr>
              <w:spacing w:line="360" w:lineRule="auto"/>
              <w:ind w:right="178" w:rightChars="85"/>
              <w:rPr>
                <w:rFonts w:eastAsia="黑体"/>
                <w:b/>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8.6环评及批复落实情况</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按照环评及批复要求逐条进行检查，落实情况见表8-1及表8-2。</w:t>
            </w:r>
          </w:p>
          <w:p>
            <w:pPr>
              <w:pStyle w:val="68"/>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表8-1环评落实情况一览表</w:t>
            </w:r>
          </w:p>
          <w:tbl>
            <w:tblPr>
              <w:tblStyle w:val="28"/>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152"/>
              <w:gridCol w:w="4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663" w:type="dxa"/>
                  <w:tcBorders>
                    <w:top w:val="single" w:color="auto" w:sz="12" w:space="0"/>
                    <w:bottom w:val="single" w:color="auto" w:sz="12" w:space="0"/>
                  </w:tcBorders>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序号</w:t>
                  </w:r>
                </w:p>
              </w:tc>
              <w:tc>
                <w:tcPr>
                  <w:tcW w:w="4152" w:type="dxa"/>
                  <w:tcBorders>
                    <w:top w:val="single" w:color="auto" w:sz="12" w:space="0"/>
                    <w:bottom w:val="single" w:color="auto" w:sz="12" w:space="0"/>
                  </w:tcBorders>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环评要求</w:t>
                  </w:r>
                </w:p>
              </w:tc>
              <w:tc>
                <w:tcPr>
                  <w:tcW w:w="4255" w:type="dxa"/>
                  <w:tcBorders>
                    <w:top w:val="single" w:color="auto" w:sz="12" w:space="0"/>
                    <w:bottom w:val="single" w:color="auto" w:sz="12" w:space="0"/>
                  </w:tcBorders>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12" w:space="0"/>
                    <w:bottom w:val="single" w:color="auto" w:sz="8"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4152" w:type="dxa"/>
                  <w:tcBorders>
                    <w:top w:val="single" w:color="auto" w:sz="12" w:space="0"/>
                    <w:bottom w:val="single" w:color="auto" w:sz="8" w:space="0"/>
                  </w:tcBorders>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废水主要为生活污水和研发废水（主要为地面清洗废水、器皿(经高压灭菌后)清洗废水、工衣清洗废水和纯水制备过程中产生的浓水、配液废水），其中项目配液废水全部进入危废。项目生活污水与研发废水经C4栋内排水管网排入园区内化粪池处理后，再进入园区污水处理站处理，处理达标后排入市政管网，进入豹澥污水处理厂，处理达标后外排长江武汉段。</w:t>
                  </w:r>
                </w:p>
              </w:tc>
              <w:tc>
                <w:tcPr>
                  <w:tcW w:w="4255" w:type="dxa"/>
                  <w:tcBorders>
                    <w:top w:val="single" w:color="auto" w:sz="12" w:space="0"/>
                    <w:bottom w:val="single" w:color="auto" w:sz="8" w:space="0"/>
                  </w:tcBorders>
                  <w:vAlign w:val="center"/>
                </w:tcPr>
                <w:p>
                  <w:pPr>
                    <w:rPr>
                      <w:color w:val="000000" w:themeColor="text1"/>
                      <w:sz w:val="18"/>
                      <w:szCs w:val="18"/>
                      <w:highlight w:val="yellow"/>
                      <w14:textFill>
                        <w14:solidFill>
                          <w14:schemeClr w14:val="tx1"/>
                        </w14:solidFill>
                      </w14:textFill>
                    </w:rPr>
                  </w:pPr>
                  <w:r>
                    <w:rPr>
                      <w:color w:val="000000" w:themeColor="text1"/>
                      <w:sz w:val="18"/>
                      <w:szCs w:val="18"/>
                      <w14:textFill>
                        <w14:solidFill>
                          <w14:schemeClr w14:val="tx1"/>
                        </w14:solidFill>
                      </w14:textFill>
                    </w:rPr>
                    <w:t>已落实。</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废水主要为生活污水和研发废水（主要为地面清洗废水、器皿(经高压灭菌后)清洗废水、工衣清洗废水和纯水制备过程中产生的浓水、配液废水），其中项目配液废水全部进入危废。项目生活污水与研发废水经C4栋内排水管网排入园区内化粪池处理后，再进入园区污水处理站处理，验收监测期间，项目项目废水排放口★1#中pH值、化学需氧量、五日生化需氧量、氨氮、悬浮物浓度的测定均值或范围均</w:t>
                  </w:r>
                  <w:r>
                    <w:rPr>
                      <w:rFonts w:hint="eastAsia"/>
                      <w:color w:val="000000" w:themeColor="text1"/>
                      <w:sz w:val="18"/>
                      <w:szCs w:val="18"/>
                      <w14:textFill>
                        <w14:solidFill>
                          <w14:schemeClr w14:val="tx1"/>
                        </w14:solidFill>
                      </w14:textFill>
                    </w:rPr>
                    <w:t>值</w:t>
                  </w:r>
                  <w:r>
                    <w:rPr>
                      <w:color w:val="000000" w:themeColor="text1"/>
                      <w:sz w:val="18"/>
                      <w:szCs w:val="18"/>
                      <w14:textFill>
                        <w14:solidFill>
                          <w14:schemeClr w14:val="tx1"/>
                        </w14:solidFill>
                      </w14:textFill>
                    </w:rPr>
                    <w:t>满足园区污水处理站进水水质要求后排入市政管网，验收监测期间，园区污水总排口★2#中pH值、化学需氧量、五日生化需氧量、氨氮、悬浮物浓度的测定均值或范围均满足豹澥污水处理厂进水水质标准</w:t>
                  </w:r>
                  <w:r>
                    <w:rPr>
                      <w:rFonts w:hint="eastAsia"/>
                      <w:color w:val="000000" w:themeColor="text1"/>
                      <w:sz w:val="18"/>
                      <w:szCs w:val="18"/>
                      <w14:textFill>
                        <w14:solidFill>
                          <w14:schemeClr w14:val="tx1"/>
                        </w14:solidFill>
                      </w14:textFill>
                    </w:rPr>
                    <w:t>后</w:t>
                  </w:r>
                  <w:r>
                    <w:rPr>
                      <w:color w:val="000000" w:themeColor="text1"/>
                      <w:sz w:val="18"/>
                      <w:szCs w:val="18"/>
                      <w14:textFill>
                        <w14:solidFill>
                          <w14:schemeClr w14:val="tx1"/>
                        </w14:solidFill>
                      </w14:textFill>
                    </w:rPr>
                    <w:t>进入豹澥污水处理厂，处理达标后外排长江武汉段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8" w:space="0"/>
                    <w:bottom w:val="single" w:color="auto" w:sz="8"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4152" w:type="dxa"/>
                  <w:tcBorders>
                    <w:top w:val="single" w:color="auto" w:sz="8" w:space="0"/>
                    <w:bottom w:val="single" w:color="auto" w:sz="8" w:space="0"/>
                  </w:tcBorders>
                  <w:vAlign w:val="center"/>
                </w:tcPr>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目运营期主要废气为研发实验室废气，主要为甲醇、乙醇等VOCs气体，经集气罩收集后经排风机抽至所在楼栋预留风井内管道通往楼顶（排气筒高度约20m），经活性炭吸附（吸附效率按90%计））后排放，风机排风量不小于2500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/h，排放浓度为5.4 mg/m</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、排放速率为0.014 kg/h，排放量为6.75kg/a，均满足《厦门市大气污染物排放标准》（DB35/323-2018）表2其他行业标准限值要求。</w:t>
                  </w:r>
                </w:p>
              </w:tc>
              <w:tc>
                <w:tcPr>
                  <w:tcW w:w="4255" w:type="dxa"/>
                  <w:tcBorders>
                    <w:top w:val="single" w:color="auto" w:sz="8" w:space="0"/>
                    <w:bottom w:val="single" w:color="auto" w:sz="8" w:space="0"/>
                  </w:tcBorders>
                  <w:vAlign w:val="center"/>
                </w:tcPr>
                <w:p>
                  <w:pPr>
                    <w:rPr>
                      <w:color w:val="000000" w:themeColor="text1"/>
                      <w:sz w:val="18"/>
                      <w:szCs w:val="18"/>
                      <w:highlight w:val="yellow"/>
                      <w14:textFill>
                        <w14:solidFill>
                          <w14:schemeClr w14:val="tx1"/>
                        </w14:solidFill>
                      </w14:textFill>
                    </w:rPr>
                  </w:pPr>
                  <w:r>
                    <w:rPr>
                      <w:color w:val="000000" w:themeColor="text1"/>
                      <w:sz w:val="18"/>
                      <w:szCs w:val="18"/>
                      <w14:textFill>
                        <w14:solidFill>
                          <w14:schemeClr w14:val="tx1"/>
                        </w14:solidFill>
                      </w14:textFill>
                    </w:rPr>
                    <w:t>已落实。项目运营期主要废气为研发实验室废气，主要为甲醇、乙醇等VOCs气体，经集气罩收集后经排风机抽至所在楼栋预留风井内管道通往楼顶（排气筒高度约2</w:t>
                  </w:r>
                  <w:r>
                    <w:rPr>
                      <w:rFonts w:hint="eastAsia"/>
                      <w:color w:val="000000" w:themeColor="text1"/>
                      <w:sz w:val="18"/>
                      <w:szCs w:val="18"/>
                      <w14:textFill>
                        <w14:solidFill>
                          <w14:schemeClr w14:val="tx1"/>
                        </w14:solidFill>
                      </w14:textFill>
                    </w:rPr>
                    <w:t>8</w:t>
                  </w:r>
                  <w:r>
                    <w:rPr>
                      <w:color w:val="000000" w:themeColor="text1"/>
                      <w:sz w:val="18"/>
                      <w:szCs w:val="18"/>
                      <w14:textFill>
                        <w14:solidFill>
                          <w14:schemeClr w14:val="tx1"/>
                        </w14:solidFill>
                      </w14:textFill>
                    </w:rPr>
                    <w:t>m），验收监测期间，项目实验室废气排气筒出口处◎1#有组织废气中甲醇排放浓度满足《厦门市大气污染物排放标准》（DB35/323-2018）表2其他行业标准要求限值。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8" w:space="0"/>
                    <w:bottom w:val="single" w:color="auto" w:sz="8"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4152" w:type="dxa"/>
                  <w:tcBorders>
                    <w:top w:val="single" w:color="auto" w:sz="8" w:space="0"/>
                    <w:bottom w:val="single" w:color="auto" w:sz="8" w:space="0"/>
                  </w:tcBorders>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噪声源为各类实验设备，噪声值约70~80dB（A），设备经减震消声、墙体隔声等措施处理后，项目东、南、西、北厂界均能满足《工业企业厂界环境噪声排放标准》（GB12348-2008）3类标准的要求（昼间65dB（A），夜间55dB（A））。</w:t>
                  </w:r>
                </w:p>
              </w:tc>
              <w:tc>
                <w:tcPr>
                  <w:tcW w:w="4255" w:type="dxa"/>
                  <w:tcBorders>
                    <w:top w:val="single" w:color="auto" w:sz="8" w:space="0"/>
                    <w:bottom w:val="single" w:color="auto" w:sz="8" w:space="0"/>
                  </w:tcBorders>
                  <w:vAlign w:val="center"/>
                </w:tcPr>
                <w:p>
                  <w:pPr>
                    <w:jc w:val="left"/>
                    <w:rPr>
                      <w:color w:val="000000" w:themeColor="text1"/>
                      <w:sz w:val="18"/>
                      <w:szCs w:val="18"/>
                      <w:highlight w:val="yellow"/>
                      <w14:textFill>
                        <w14:solidFill>
                          <w14:schemeClr w14:val="tx1"/>
                        </w14:solidFill>
                      </w14:textFill>
                    </w:rPr>
                  </w:pPr>
                  <w:r>
                    <w:rPr>
                      <w:color w:val="000000" w:themeColor="text1"/>
                      <w:sz w:val="18"/>
                      <w:szCs w:val="18"/>
                      <w14:textFill>
                        <w14:solidFill>
                          <w14:schemeClr w14:val="tx1"/>
                        </w14:solidFill>
                      </w14:textFill>
                    </w:rPr>
                    <w:t>已落实。</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噪声源为各类实验设备，设备经减震消声、墙体隔声等措施处理后，验收监测期间，项目东、南、西、北厂界均能满足《工业企业厂界环境噪声排放标准》（GB12348-2008）3类标准的要求（昼间65dB（A），夜间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63" w:type="dxa"/>
                  <w:tcBorders>
                    <w:top w:val="single" w:color="auto" w:sz="8" w:space="0"/>
                    <w:bottom w:val="single" w:color="auto" w:sz="8"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w:t>
                  </w:r>
                </w:p>
              </w:tc>
              <w:tc>
                <w:tcPr>
                  <w:tcW w:w="4152" w:type="dxa"/>
                  <w:tcBorders>
                    <w:top w:val="single" w:color="auto" w:sz="8" w:space="0"/>
                    <w:bottom w:val="single" w:color="auto" w:sz="8" w:space="0"/>
                  </w:tcBorders>
                  <w:vAlign w:val="center"/>
                </w:tcPr>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目固体废物包括办公生活垃圾、工业固体废物和危险废物。办公生活垃圾经集中收集后，统一由环卫部门定期清运。工业固体废物主要包括生产过程中产生的废复合包装材料和废滤芯。其中废复合包装材料交由环卫部门清运处理，废滤芯由纯水制备系统厂家回收。危险废物主要为实验废液（废培养液、废缓冲液及残液等）、废实验器具和废弃的试剂包装容器、废活性炭等，委托有资质单位安全处置。各项固体废物均合理处置不外排，不会对周边环境及敏感点产生影响。</w:t>
                  </w:r>
                </w:p>
              </w:tc>
              <w:tc>
                <w:tcPr>
                  <w:tcW w:w="4255" w:type="dxa"/>
                  <w:tcBorders>
                    <w:top w:val="single" w:color="auto" w:sz="8" w:space="0"/>
                    <w:bottom w:val="single" w:color="auto" w:sz="8" w:space="0"/>
                  </w:tcBorders>
                  <w:vAlign w:val="center"/>
                </w:tcPr>
                <w:p>
                  <w:pPr>
                    <w:rPr>
                      <w:color w:val="000000" w:themeColor="text1"/>
                      <w:kern w:val="0"/>
                      <w:sz w:val="18"/>
                      <w:szCs w:val="18"/>
                      <w:highlight w:val="yellow"/>
                      <w14:textFill>
                        <w14:solidFill>
                          <w14:schemeClr w14:val="tx1"/>
                        </w14:solidFill>
                      </w14:textFill>
                    </w:rPr>
                  </w:pPr>
                  <w:r>
                    <w:rPr>
                      <w:color w:val="000000" w:themeColor="text1"/>
                      <w:sz w:val="18"/>
                      <w:szCs w:val="18"/>
                      <w14:textFill>
                        <w14:solidFill>
                          <w14:schemeClr w14:val="tx1"/>
                        </w14:solidFill>
                      </w14:textFill>
                    </w:rPr>
                    <w:t>已落实。</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产生的固体废物主要为生活垃圾、一般工业固体废物和危险废物。其中生活垃圾交由环卫部门清运处理，一般工业固体废物主要包括生产组装过程中产生的废复合包装材料、纯水制备设备里面的滤芯等，废复合包装材料交由环卫部门清运处理，纯水制备设备里面的滤芯由纯水制备系统厂家回收，危险废物主要为实验废液（含废培养液、废缓冲液及残液等）、废实验器具和废弃的试剂包装容器及废活性炭等，均暂存于危废间，定期委托华新环境工程（武穴）有限公司安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8" w:space="0"/>
                    <w:bottom w:val="single" w:color="auto" w:sz="8"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w:t>
                  </w:r>
                </w:p>
              </w:tc>
              <w:tc>
                <w:tcPr>
                  <w:tcW w:w="4152" w:type="dxa"/>
                  <w:tcBorders>
                    <w:top w:val="single" w:color="auto" w:sz="8" w:space="0"/>
                    <w:bottom w:val="single" w:color="auto" w:sz="8" w:space="0"/>
                  </w:tcBorders>
                  <w:vAlign w:val="center"/>
                </w:tcPr>
                <w:p>
                  <w:pPr>
                    <w:rPr>
                      <w:color w:val="000000" w:themeColor="text1"/>
                      <w:sz w:val="18"/>
                      <w:szCs w:val="18"/>
                      <w:lang w:val="zh-CN"/>
                      <w14:textFill>
                        <w14:solidFill>
                          <w14:schemeClr w14:val="tx1"/>
                        </w14:solidFill>
                      </w14:textFill>
                    </w:rPr>
                  </w:pP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为新型无血清培养基研发项目，主要内容为实验研发。</w:t>
                  </w:r>
                  <w:r>
                    <w:rPr>
                      <w:color w:val="000000" w:themeColor="text1"/>
                      <w:sz w:val="18"/>
                      <w:szCs w:val="18"/>
                      <w:lang w:val="zh-CN"/>
                      <w14:textFill>
                        <w14:solidFill>
                          <w14:schemeClr w14:val="tx1"/>
                        </w14:solidFill>
                      </w14:textFill>
                    </w:rPr>
                    <w:t>根据产业结构调整指导目录（2019年本）》（国家发展和改革委员会令第29号），</w:t>
                  </w:r>
                  <w:r>
                    <w:rPr>
                      <w:rFonts w:hint="eastAsia"/>
                      <w:color w:val="000000" w:themeColor="text1"/>
                      <w:sz w:val="18"/>
                      <w:szCs w:val="18"/>
                      <w:lang w:val="zh-CN"/>
                      <w14:textFill>
                        <w14:solidFill>
                          <w14:schemeClr w14:val="tx1"/>
                        </w14:solidFill>
                      </w14:textFill>
                    </w:rPr>
                    <w:t>项目</w:t>
                  </w:r>
                  <w:r>
                    <w:rPr>
                      <w:color w:val="000000" w:themeColor="text1"/>
                      <w:sz w:val="18"/>
                      <w:szCs w:val="18"/>
                      <w:lang w:val="zh-CN"/>
                      <w14:textFill>
                        <w14:solidFill>
                          <w14:schemeClr w14:val="tx1"/>
                        </w14:solidFill>
                      </w14:textFill>
                    </w:rPr>
                    <w:t>不属于鼓励类、限制类和淘汰类项目，为允许类。因此，项目符合国家产业政策。</w:t>
                  </w:r>
                </w:p>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符合《东湖国家自主创新示范区总体规划（2011～2020年）》要求；对照对照《武汉市大光谷板块综合规划及近期实施规划环境影响报告书》，</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属于允许类，符合《武汉市大光谷板块综合规划及近期实施规划环境影响报告书》相关要求。项目用地性质为工业性质，符合土地利用规划；项目符合《武汉国家生物产业（九龙产业）基地规划》、《武汉光谷生物医药产业园发展有限公司武汉光谷生物医药中小企业园（一期）环境影响报告表》及其批复相关要求；项目属于城镇集中建设区，符合《武汉市基本生态控制线管理条例》要求；项目不涉及生态红线，满足“三线一单”相关要求。项目属于重点管控区，满足《省人民政府关于加快实施“三线一单”生态环境分区管控的意见公告》（鄂政发〔2020〕21号）相关要求。</w:t>
                  </w:r>
                </w:p>
              </w:tc>
              <w:tc>
                <w:tcPr>
                  <w:tcW w:w="4255" w:type="dxa"/>
                  <w:tcBorders>
                    <w:top w:val="single" w:color="auto" w:sz="8" w:space="0"/>
                    <w:bottom w:val="single" w:color="auto" w:sz="8" w:space="0"/>
                  </w:tcBorders>
                  <w:vAlign w:val="center"/>
                </w:tcPr>
                <w:p>
                  <w:pPr>
                    <w:rPr>
                      <w:color w:val="000000" w:themeColor="text1"/>
                      <w:kern w:val="0"/>
                      <w:sz w:val="18"/>
                      <w:szCs w:val="18"/>
                      <w:lang w:val="zh-CN"/>
                      <w14:textFill>
                        <w14:solidFill>
                          <w14:schemeClr w14:val="tx1"/>
                        </w14:solidFill>
                      </w14:textFill>
                    </w:rPr>
                  </w:pPr>
                  <w:r>
                    <w:rPr>
                      <w:color w:val="000000" w:themeColor="text1"/>
                      <w:sz w:val="18"/>
                      <w:szCs w:val="18"/>
                      <w14:textFill>
                        <w14:solidFill>
                          <w14:schemeClr w14:val="tx1"/>
                        </w14:solidFill>
                      </w14:textFill>
                    </w:rPr>
                    <w:t>已落实。</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为新型无血清培养基研发项目，主要内容为实验研发。</w:t>
                  </w:r>
                  <w:r>
                    <w:rPr>
                      <w:color w:val="000000" w:themeColor="text1"/>
                      <w:kern w:val="0"/>
                      <w:sz w:val="18"/>
                      <w:szCs w:val="18"/>
                      <w:lang w:val="zh-CN"/>
                      <w14:textFill>
                        <w14:solidFill>
                          <w14:schemeClr w14:val="tx1"/>
                        </w14:solidFill>
                      </w14:textFill>
                    </w:rPr>
                    <w:t>根据产业结构调整指导目录（2019年本）》（国家发展和改革委员会令第29号），</w:t>
                  </w:r>
                  <w:r>
                    <w:rPr>
                      <w:rFonts w:hint="eastAsia"/>
                      <w:color w:val="000000" w:themeColor="text1"/>
                      <w:kern w:val="0"/>
                      <w:sz w:val="18"/>
                      <w:szCs w:val="18"/>
                      <w:lang w:val="zh-CN"/>
                      <w14:textFill>
                        <w14:solidFill>
                          <w14:schemeClr w14:val="tx1"/>
                        </w14:solidFill>
                      </w14:textFill>
                    </w:rPr>
                    <w:t>项目</w:t>
                  </w:r>
                  <w:r>
                    <w:rPr>
                      <w:color w:val="000000" w:themeColor="text1"/>
                      <w:kern w:val="0"/>
                      <w:sz w:val="18"/>
                      <w:szCs w:val="18"/>
                      <w:lang w:val="zh-CN"/>
                      <w14:textFill>
                        <w14:solidFill>
                          <w14:schemeClr w14:val="tx1"/>
                        </w14:solidFill>
                      </w14:textFill>
                    </w:rPr>
                    <w:t>不属于鼓励类、限制类和淘汰类项目，为允许类。因此，项目符合国家产业政策。</w:t>
                  </w:r>
                </w:p>
                <w:p>
                  <w:pP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符合《东湖国家自主创新示范区总体规划（2011～2020年）》要求；对照对照《武汉市大光谷板块综合规划及近期实施规划环境影响报告书》，</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属于允许类，符合《武汉市大光谷板块综合规划及近期实施规划环境影响报告书》相关要求。项目用地性质为工业性质，符合土地利用规划；项目符合《武汉国家生物产业（九龙产业）基地规划》、《武汉光谷生物医药产业园发展有限公司武汉光谷生物医药中小企业园（一期）环境影响报告表》及其批复相关要求；项目属于城镇集中建设区，符合《武汉市基本生态控制线管理条例》要求；项目不涉及生态红线，满足“三线一单”相关要求。项目属于重点管控区，满足《省人民政府关于加快实施“三线一单”生态环境分区管控的意见公告》（鄂政发〔2020〕21号）相关要求。</w:t>
                  </w:r>
                </w:p>
                <w:p>
                  <w:pPr>
                    <w:rPr>
                      <w:color w:val="000000" w:themeColor="text1"/>
                      <w:kern w:val="0"/>
                      <w:sz w:val="18"/>
                      <w:szCs w:val="18"/>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663" w:type="dxa"/>
                  <w:tcBorders>
                    <w:top w:val="single" w:color="auto" w:sz="8" w:space="0"/>
                    <w:bottom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6</w:t>
                  </w:r>
                </w:p>
              </w:tc>
              <w:tc>
                <w:tcPr>
                  <w:tcW w:w="4152" w:type="dxa"/>
                  <w:tcBorders>
                    <w:top w:val="single" w:color="auto" w:sz="8" w:space="0"/>
                    <w:bottom w:val="single" w:color="auto" w:sz="12" w:space="0"/>
                  </w:tcBorders>
                  <w:vAlign w:val="center"/>
                </w:tcPr>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根据国家对实施污染物排放总量控制的要求以及</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污染物排放特点，确定</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污染物排放总量控制因子为废水为COD、NH</w:t>
                  </w:r>
                  <w:r>
                    <w:rPr>
                      <w:color w:val="000000" w:themeColor="text1"/>
                      <w:sz w:val="18"/>
                      <w:szCs w:val="18"/>
                      <w:vertAlign w:val="subscript"/>
                      <w14:textFill>
                        <w14:solidFill>
                          <w14:schemeClr w14:val="tx1"/>
                        </w14:solidFill>
                      </w14:textFill>
                    </w:rPr>
                    <w:t>3</w:t>
                  </w:r>
                  <w:r>
                    <w:rPr>
                      <w:color w:val="000000" w:themeColor="text1"/>
                      <w:sz w:val="18"/>
                      <w:szCs w:val="18"/>
                      <w14:textFill>
                        <w14:solidFill>
                          <w14:schemeClr w14:val="tx1"/>
                        </w14:solidFill>
                      </w14:textFill>
                    </w:rPr>
                    <w:t>-N 两项，废气为VOCs一项。</w:t>
                  </w:r>
                </w:p>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根据武汉市生态环境局《关于进一步做好建设项目重点污染物排放总量指标审核和替代有关工作的通知》（武环[2019]50号），除城镇（乡、村）生活污水处理厂、垃圾处理场（不含垃圾焚烧发电厂）、危险废物和医疗废物处置厂、污水进入城镇污水处理厂的非工业项目（仅限于水污染物指标）等建设项目外，按照法律法规要求需要进行环境影响评价审批并新增重点污染物排放的建设项目，均纳入总量替代工作范围。</w:t>
                  </w:r>
                </w:p>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COD排放量0.027t/a、NH</w:t>
                  </w:r>
                  <w:r>
                    <w:rPr>
                      <w:color w:val="000000" w:themeColor="text1"/>
                      <w:sz w:val="18"/>
                      <w:szCs w:val="18"/>
                      <w:vertAlign w:val="subscript"/>
                      <w14:textFill>
                        <w14:solidFill>
                          <w14:schemeClr w14:val="tx1"/>
                        </w14:solidFill>
                      </w14:textFill>
                    </w:rPr>
                    <w:t>3</w:t>
                  </w:r>
                  <w:r>
                    <w:rPr>
                      <w:color w:val="000000" w:themeColor="text1"/>
                      <w:sz w:val="18"/>
                      <w:szCs w:val="18"/>
                      <w14:textFill>
                        <w14:solidFill>
                          <w14:schemeClr w14:val="tx1"/>
                        </w14:solidFill>
                      </w14:textFill>
                    </w:rPr>
                    <w:t>-N排放量0.003t/a，项目不属于工业项目，且污水可排入豹澥污水处理厂处理达标后排放，因此</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不需申请COD、NH3-N总量控制指标。</w:t>
                  </w:r>
                </w:p>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根据项目工程分析，</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VOCs排放量0.00675t/a，建议总量控制指标为0.00675t/a。根据《建设项目主要污染物排放总量指标审核及管理暂行办法》（环发[2014]197号）有关规定，</w:t>
                  </w: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所需替代的总量为挥发性有机物0.0135t/a。根据武汉东湖新技术开发区生态环境和水务湖泊局出具的《关于武汉普诺赛生命科技有限公司新型无血清培养基研发项目二期污染物总量指标来源的回复》，项目新增挥发性有机物0.00675t/a，所需替代的挥发性有机物总量为0.0135t/a，来源于武汉市裕同印刷包装有限高新四路分公司的关停。</w:t>
                  </w:r>
                </w:p>
              </w:tc>
              <w:tc>
                <w:tcPr>
                  <w:tcW w:w="4255" w:type="dxa"/>
                  <w:tcBorders>
                    <w:top w:val="single" w:color="auto" w:sz="8" w:space="0"/>
                    <w:bottom w:val="single" w:color="auto" w:sz="12" w:space="0"/>
                  </w:tcBorders>
                  <w:vAlign w:val="center"/>
                </w:tcPr>
                <w:p>
                  <w:pP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已落实。</w:t>
                  </w:r>
                  <w:r>
                    <w:rPr>
                      <w:color w:val="000000" w:themeColor="text1"/>
                      <w:kern w:val="0"/>
                      <w:sz w:val="18"/>
                      <w:szCs w:val="18"/>
                      <w14:textFill>
                        <w14:solidFill>
                          <w14:schemeClr w14:val="tx1"/>
                        </w14:solidFill>
                      </w14:textFill>
                    </w:rPr>
                    <w:t>根据国家对实施污染物排放总量控制的要求以及</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污染物排放特点，确定</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污染物排放总量控制因子为废水为COD、NH</w:t>
                  </w:r>
                  <w:r>
                    <w:rPr>
                      <w:color w:val="000000" w:themeColor="text1"/>
                      <w:kern w:val="0"/>
                      <w:sz w:val="18"/>
                      <w:szCs w:val="18"/>
                      <w:vertAlign w:val="subscript"/>
                      <w14:textFill>
                        <w14:solidFill>
                          <w14:schemeClr w14:val="tx1"/>
                        </w14:solidFill>
                      </w14:textFill>
                    </w:rPr>
                    <w:t>3</w:t>
                  </w:r>
                  <w:r>
                    <w:rPr>
                      <w:color w:val="000000" w:themeColor="text1"/>
                      <w:kern w:val="0"/>
                      <w:sz w:val="18"/>
                      <w:szCs w:val="18"/>
                      <w14:textFill>
                        <w14:solidFill>
                          <w14:schemeClr w14:val="tx1"/>
                        </w14:solidFill>
                      </w14:textFill>
                    </w:rPr>
                    <w:t>-N两项，废气为VOCs一项。项目不属于工业项目，且污水可排入豹澥污水处理厂处理达标后排放，因此</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不需申请COD、NH</w:t>
                  </w:r>
                  <w:r>
                    <w:rPr>
                      <w:color w:val="000000" w:themeColor="text1"/>
                      <w:kern w:val="0"/>
                      <w:sz w:val="18"/>
                      <w:szCs w:val="18"/>
                      <w:vertAlign w:val="subscript"/>
                      <w14:textFill>
                        <w14:solidFill>
                          <w14:schemeClr w14:val="tx1"/>
                        </w14:solidFill>
                      </w14:textFill>
                    </w:rPr>
                    <w:t>3</w:t>
                  </w:r>
                  <w:r>
                    <w:rPr>
                      <w:color w:val="000000" w:themeColor="text1"/>
                      <w:kern w:val="0"/>
                      <w:sz w:val="18"/>
                      <w:szCs w:val="18"/>
                      <w14:textFill>
                        <w14:solidFill>
                          <w14:schemeClr w14:val="tx1"/>
                        </w14:solidFill>
                      </w14:textFill>
                    </w:rPr>
                    <w:t>-N总量控制指标。</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VOCS总量控制指标为0.00675t/a，根据</w:t>
                  </w: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验收监测结果显示，项目运营期VOCS实际排放量</w:t>
                  </w:r>
                  <w:r>
                    <w:rPr>
                      <w:rFonts w:hint="eastAsia"/>
                      <w:color w:val="000000" w:themeColor="text1"/>
                      <w:kern w:val="0"/>
                      <w:sz w:val="18"/>
                      <w:szCs w:val="18"/>
                      <w14:textFill>
                        <w14:solidFill>
                          <w14:schemeClr w14:val="tx1"/>
                        </w14:solidFill>
                      </w14:textFill>
                    </w:rPr>
                    <w:t>为</w:t>
                  </w:r>
                  <w:r>
                    <w:rPr>
                      <w:color w:val="000000" w:themeColor="text1"/>
                      <w:kern w:val="0"/>
                      <w:sz w:val="18"/>
                      <w:szCs w:val="18"/>
                      <w14:textFill>
                        <w14:solidFill>
                          <w14:schemeClr w14:val="tx1"/>
                        </w14:solidFill>
                      </w14:textFill>
                    </w:rPr>
                    <w:t>0.00162t/a，满足项目环评核算的总量控制范围。</w:t>
                  </w:r>
                </w:p>
              </w:tc>
            </w:tr>
          </w:tbl>
          <w:p>
            <w:pPr>
              <w:pStyle w:val="68"/>
              <w:rPr>
                <w:rFonts w:ascii="Times New Roman" w:hAnsi="Times New Roman"/>
                <w:color w:val="000000" w:themeColor="text1"/>
                <w:sz w:val="21"/>
                <w14:textFill>
                  <w14:solidFill>
                    <w14:schemeClr w14:val="tx1"/>
                  </w14:solidFill>
                </w14:textFill>
              </w:rPr>
            </w:pPr>
            <w:r>
              <w:rPr>
                <w:rFonts w:ascii="Times New Roman" w:hAnsi="Times New Roman"/>
                <w:color w:val="000000" w:themeColor="text1"/>
                <w:sz w:val="21"/>
                <w14:textFill>
                  <w14:solidFill>
                    <w14:schemeClr w14:val="tx1"/>
                  </w14:solidFill>
                </w14:textFill>
              </w:rPr>
              <w:t>表8-2环评批复落实情况一览表</w:t>
            </w:r>
          </w:p>
          <w:tbl>
            <w:tblPr>
              <w:tblStyle w:val="28"/>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4152"/>
              <w:gridCol w:w="42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663" w:type="dxa"/>
                  <w:tcBorders>
                    <w:top w:val="single" w:color="auto" w:sz="12" w:space="0"/>
                    <w:bottom w:val="single" w:color="auto" w:sz="12" w:space="0"/>
                  </w:tcBorders>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序号</w:t>
                  </w:r>
                </w:p>
              </w:tc>
              <w:tc>
                <w:tcPr>
                  <w:tcW w:w="4152" w:type="dxa"/>
                  <w:tcBorders>
                    <w:top w:val="single" w:color="auto" w:sz="12" w:space="0"/>
                    <w:bottom w:val="single" w:color="auto" w:sz="12" w:space="0"/>
                  </w:tcBorders>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环评批复</w:t>
                  </w:r>
                </w:p>
              </w:tc>
              <w:tc>
                <w:tcPr>
                  <w:tcW w:w="4255" w:type="dxa"/>
                  <w:tcBorders>
                    <w:top w:val="single" w:color="auto" w:sz="12" w:space="0"/>
                    <w:bottom w:val="single" w:color="auto" w:sz="12" w:space="0"/>
                  </w:tcBorders>
                  <w:vAlign w:val="center"/>
                </w:tcPr>
                <w:p>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12" w:space="0"/>
                    <w:bottom w:val="single" w:color="auto" w:sz="8"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4152" w:type="dxa"/>
                  <w:tcBorders>
                    <w:top w:val="single" w:color="auto" w:sz="12" w:space="0"/>
                    <w:bottom w:val="single" w:color="auto" w:sz="8" w:space="0"/>
                  </w:tcBorders>
                  <w:vAlign w:val="center"/>
                </w:tcPr>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武汉普诺赛生命科技有限公司委托武汉智汇元环保科技有限公司编制的《武汉普诺赛生命科技有限公司新型无血清培养基研发项目二期环境影响报告表》(以下简称《报告表》)收悉。根据《市环保局关于印发武汉市工程建设项目环境影响报告表实行告知承诺制实施方案的通知》(武环(2018)77号)和《省生态环境厅关于调整建设项目环境影响评价文件审批权限等事项的通知》(鄂环(2020)64号)，该项目(项目代码2018-420118-73-03-067452)实行告知承诺制，我局对《报告表》不作实质性审查，直接出具审批意见。根据你公司承诺和《报告表》结论，你公司可以按《报告表》所列建设项目性质、规模、地点、以及拟采取的环保措施建设，项目实施相关法律责任由你公司自行承担。</w:t>
                  </w:r>
                </w:p>
              </w:tc>
              <w:tc>
                <w:tcPr>
                  <w:tcW w:w="4255" w:type="dxa"/>
                  <w:tcBorders>
                    <w:top w:val="single" w:color="auto" w:sz="12" w:space="0"/>
                    <w:bottom w:val="single" w:color="auto" w:sz="8" w:space="0"/>
                  </w:tcBorders>
                  <w:vAlign w:val="center"/>
                </w:tcPr>
                <w:p>
                  <w:pP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项目</w:t>
                  </w:r>
                  <w:r>
                    <w:rPr>
                      <w:color w:val="000000" w:themeColor="text1"/>
                      <w:kern w:val="0"/>
                      <w:sz w:val="18"/>
                      <w:szCs w:val="18"/>
                      <w14:textFill>
                        <w14:solidFill>
                          <w14:schemeClr w14:val="tx1"/>
                        </w14:solidFill>
                      </w14:textFill>
                    </w:rPr>
                    <w:t>已落实环评批复要求，按《报告表》所列建设项目性质、规模、地点、以及拟采取的环保措施建设。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op w:val="single" w:color="auto" w:sz="8" w:space="0"/>
                    <w:bottom w:val="single" w:color="auto" w:sz="12" w:space="0"/>
                  </w:tcBorders>
                  <w:vAlign w:val="center"/>
                </w:tcPr>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4152" w:type="dxa"/>
                  <w:tcBorders>
                    <w:top w:val="single" w:color="auto" w:sz="8" w:space="0"/>
                    <w:bottom w:val="single" w:color="auto" w:sz="12" w:space="0"/>
                  </w:tcBorders>
                  <w:vAlign w:val="center"/>
                </w:tcPr>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武汉普诺赛生命科技有限公司应当严格落实报告表提出的防止污染和防止生态破坏的措施，严格执行配套建设的环保设施与主体工程同时设计、同时施工、同时投入使用的环保“三同时”制度，应做到各类污染物达标排放。项目竣工后，应按规定开展环境保护验收.经验收合格后，项目方可正式投入生产或者使用。</w:t>
                  </w:r>
                </w:p>
              </w:tc>
              <w:tc>
                <w:tcPr>
                  <w:tcW w:w="4255" w:type="dxa"/>
                  <w:tcBorders>
                    <w:top w:val="single" w:color="auto" w:sz="8" w:space="0"/>
                    <w:bottom w:val="single" w:color="auto" w:sz="12" w:space="0"/>
                  </w:tcBorders>
                  <w:vAlign w:val="center"/>
                </w:tcPr>
                <w:p>
                  <w:pPr>
                    <w:rPr>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项目</w:t>
                  </w:r>
                  <w:r>
                    <w:rPr>
                      <w:color w:val="000000" w:themeColor="text1"/>
                      <w:sz w:val="18"/>
                      <w:szCs w:val="18"/>
                      <w14:textFill>
                        <w14:solidFill>
                          <w14:schemeClr w14:val="tx1"/>
                        </w14:solidFill>
                      </w14:textFill>
                    </w:rPr>
                    <w:t>严格落实报告表提出的防止污染和防止生态破坏的措施，严格执行配套建设的环保设施与主体工程同时设计、同时施工、同时投入使用的环保“三同时”制度，根据验收期间监测数据可知已做到各类污染物达标排放，正在按规定开展环境保护验收。</w:t>
                  </w:r>
                </w:p>
              </w:tc>
            </w:tr>
          </w:tbl>
          <w:p>
            <w:pPr>
              <w:pStyle w:val="68"/>
              <w:jc w:val="both"/>
              <w:rPr>
                <w:rFonts w:ascii="Times New Roman" w:hAnsi="Times New Roman" w:eastAsia="宋体"/>
                <w:b/>
                <w:color w:val="000000" w:themeColor="text1"/>
                <w:sz w:val="24"/>
                <w14:textFill>
                  <w14:solidFill>
                    <w14:schemeClr w14:val="tx1"/>
                  </w14:solidFill>
                </w14:textFill>
              </w:rPr>
            </w:pPr>
          </w:p>
        </w:tc>
      </w:tr>
    </w:tbl>
    <w:p>
      <w:pPr>
        <w:pStyle w:val="5"/>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表九  验收监测结论及建议</w:t>
      </w:r>
      <w:bookmarkEnd w:id="19"/>
    </w:p>
    <w:tbl>
      <w:tblPr>
        <w:tblStyle w:val="28"/>
        <w:tblW w:w="9286"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28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890" w:hRule="atLeast"/>
        </w:trPr>
        <w:tc>
          <w:tcPr>
            <w:tcW w:w="9286" w:type="dxa"/>
          </w:tcPr>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9.1验收监测达标排放情况</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9.1.1施工期</w:t>
            </w:r>
          </w:p>
          <w:p>
            <w:pPr>
              <w:pStyle w:val="36"/>
              <w:spacing w:after="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项目</w:t>
            </w:r>
            <w:r>
              <w:rPr>
                <w:color w:val="000000" w:themeColor="text1"/>
                <w:szCs w:val="24"/>
                <w14:textFill>
                  <w14:solidFill>
                    <w14:schemeClr w14:val="tx1"/>
                  </w14:solidFill>
                </w14:textFill>
              </w:rPr>
              <w:t>施工期间主要进行室内装修及设备安装作业，在装修过程中对外界影响较小，基本落实了环评报告及批复提出的相应环保措施，采取了合理的施工组织方式，施工期间无环保相关投诉和环境污染纠纷。</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9.1.2运营期</w:t>
            </w:r>
          </w:p>
          <w:p>
            <w:pPr>
              <w:autoSpaceDE w:val="0"/>
              <w:autoSpaceDN w:val="0"/>
              <w:adjustRightInd w:val="0"/>
              <w:spacing w:line="520" w:lineRule="exact"/>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（1）废气</w:t>
            </w:r>
          </w:p>
          <w:p>
            <w:pPr>
              <w:pStyle w:val="27"/>
              <w:spacing w:line="360" w:lineRule="auto"/>
              <w:rPr>
                <w:sz w:val="24"/>
              </w:rPr>
            </w:pPr>
            <w:r>
              <w:rPr>
                <w:sz w:val="24"/>
              </w:rPr>
              <w:t>验收监测期间，项目实验室废气排气筒出口处◎1#有组织废气中</w:t>
            </w:r>
            <w:r>
              <w:rPr>
                <w:rFonts w:hint="eastAsia"/>
                <w:sz w:val="24"/>
              </w:rPr>
              <w:t xml:space="preserve"> VOCs（</w:t>
            </w:r>
            <w:r>
              <w:rPr>
                <w:rFonts w:hint="eastAsia"/>
                <w:sz w:val="24"/>
                <w:lang w:eastAsia="zh-CN"/>
              </w:rPr>
              <w:t>以</w:t>
            </w:r>
            <w:r>
              <w:rPr>
                <w:rFonts w:hint="eastAsia"/>
                <w:sz w:val="24"/>
              </w:rPr>
              <w:t>甲醇</w:t>
            </w:r>
            <w:r>
              <w:rPr>
                <w:rFonts w:hint="eastAsia"/>
                <w:sz w:val="24"/>
                <w:lang w:eastAsia="zh-CN"/>
              </w:rPr>
              <w:t>计</w:t>
            </w:r>
            <w:r>
              <w:rPr>
                <w:rFonts w:hint="eastAsia"/>
                <w:sz w:val="24"/>
              </w:rPr>
              <w:t>）排放浓度及排放速率</w:t>
            </w:r>
            <w:r>
              <w:rPr>
                <w:sz w:val="24"/>
              </w:rPr>
              <w:t>满足《厦门市大气污染物排放标准》（DB35/323-2018）表2其他行业标准要求限值。</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（2）废水</w:t>
            </w:r>
          </w:p>
          <w:p>
            <w:pPr>
              <w:spacing w:line="360" w:lineRule="auto"/>
              <w:ind w:firstLine="480" w:firstLineChars="200"/>
              <w:rPr>
                <w:sz w:val="24"/>
              </w:rPr>
            </w:pPr>
            <w:r>
              <w:rPr>
                <w:sz w:val="24"/>
              </w:rPr>
              <w:t>验收监测期间，项目废水排放口★1#中pH值、化学需氧量、五日生化需氧量、氨氮、悬浮物浓度的测定均值或范围均满足园区污水处理站进水水质要求；园区污水总排口★2#中pH值、化学需氧量、五日生化需氧量、氨氮、悬浮物</w:t>
            </w:r>
            <w:r>
              <w:rPr>
                <w:rFonts w:hint="eastAsia"/>
                <w:sz w:val="24"/>
              </w:rPr>
              <w:t>浓度</w:t>
            </w:r>
            <w:r>
              <w:rPr>
                <w:sz w:val="24"/>
              </w:rPr>
              <w:t>的测定均值或范围均满足豹澥污水处理厂进水水质标准。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（3）噪声</w:t>
            </w:r>
          </w:p>
          <w:p>
            <w:pPr>
              <w:spacing w:line="420" w:lineRule="exact"/>
              <w:ind w:firstLine="480" w:firstLineChars="200"/>
              <w:rPr>
                <w:color w:val="000000" w:themeColor="text1"/>
                <w:sz w:val="24"/>
                <w14:textFill>
                  <w14:solidFill>
                    <w14:schemeClr w14:val="tx1"/>
                  </w14:solidFill>
                </w14:textFill>
              </w:rPr>
            </w:pPr>
            <w:r>
              <w:rPr>
                <w:sz w:val="24"/>
              </w:rPr>
              <w:t>验收监测期间，</w:t>
            </w:r>
            <w:r>
              <w:rPr>
                <w:color w:val="000000" w:themeColor="text1"/>
                <w:sz w:val="24"/>
                <w14:textFill>
                  <w14:solidFill>
                    <w14:schemeClr w14:val="tx1"/>
                  </w14:solidFill>
                </w14:textFill>
              </w:rPr>
              <w:t>项目东、南、西、北测厂界噪声均满足《工业企业厂界环境噪声排放标准》（GB 12348-2008）中</w:t>
            </w:r>
            <w:r>
              <w:rPr>
                <w:rFonts w:hint="eastAsia"/>
                <w:color w:val="000000" w:themeColor="text1"/>
                <w:sz w:val="24"/>
                <w14:textFill>
                  <w14:solidFill>
                    <w14:schemeClr w14:val="tx1"/>
                  </w14:solidFill>
                </w14:textFill>
              </w:rPr>
              <w:t>3</w:t>
            </w:r>
            <w:r>
              <w:rPr>
                <w:color w:val="000000" w:themeColor="text1"/>
                <w:sz w:val="24"/>
                <w14:textFill>
                  <w14:solidFill>
                    <w14:schemeClr w14:val="tx1"/>
                  </w14:solidFill>
                </w14:textFill>
              </w:rPr>
              <w:t>类标准限值要求。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（4）固体废物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产生的固体废物主要为生活垃圾、一般工业固体废物和危险废物。其中生活垃圾交由环卫部门清运处理，一般工业固体废物主要包括生产组装过程中产生的废复合包装材料、纯水制备设备里面的滤芯等，废复合包装材料交由环卫部门清运处理，纯水制备设备里面的滤芯由纯水制备系统厂家回收，危险废物主要为实验废液（含废培养液、废缓冲液及残液等）、废实验器具和废弃的试剂包装容器及废活性炭等，均暂存于危废间，定期委托华新环境工程（武穴）有限公司安全处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（5）总量控制指标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根据国家对实施污染物排放总量控制的要求以及</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污染物排放特点，确定</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污染物排放总量控制因子为废水为COD、NH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-N两项，废气为VOCs一项。项目不属于工业项目，且污水可排入豹澥污水处理厂处理达标后排放，因此</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不需申请COD、NH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-N总量控制指标。</w:t>
            </w:r>
            <w:r>
              <w:rPr>
                <w:rFonts w:hint="eastAsia"/>
                <w:bCs/>
                <w:sz w:val="24"/>
              </w:rPr>
              <w:t>项目</w:t>
            </w:r>
            <w:r>
              <w:rPr>
                <w:bCs/>
                <w:sz w:val="24"/>
              </w:rPr>
              <w:t>VOC</w:t>
            </w:r>
            <w:r>
              <w:rPr>
                <w:bCs/>
                <w:sz w:val="24"/>
                <w:vertAlign w:val="subscript"/>
              </w:rPr>
              <w:t>S</w:t>
            </w:r>
            <w:r>
              <w:rPr>
                <w:bCs/>
                <w:sz w:val="24"/>
              </w:rPr>
              <w:t>总量控制指标为0.00675t/a，</w:t>
            </w: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验收监测结果显示，项目运营期</w:t>
            </w:r>
            <w:r>
              <w:rPr>
                <w:bCs/>
                <w:sz w:val="24"/>
              </w:rPr>
              <w:t>VOC</w:t>
            </w:r>
            <w:r>
              <w:rPr>
                <w:bCs/>
                <w:sz w:val="24"/>
                <w:vertAlign w:val="subscript"/>
              </w:rPr>
              <w:t>S</w:t>
            </w:r>
            <w:r>
              <w:rPr>
                <w:color w:val="000000" w:themeColor="text1"/>
                <w:sz w:val="24"/>
                <w14:textFill>
                  <w14:solidFill>
                    <w14:schemeClr w14:val="tx1"/>
                  </w14:solidFill>
                </w14:textFill>
              </w:rPr>
              <w:t>实际排放量</w:t>
            </w:r>
            <w:r>
              <w:rPr>
                <w:rFonts w:hint="eastAsia"/>
                <w:color w:val="000000" w:themeColor="text1"/>
                <w:sz w:val="24"/>
                <w14:textFill>
                  <w14:solidFill>
                    <w14:schemeClr w14:val="tx1"/>
                  </w14:solidFill>
                </w14:textFill>
              </w:rPr>
              <w:t>为</w:t>
            </w:r>
            <w:r>
              <w:rPr>
                <w:color w:val="000000" w:themeColor="text1"/>
                <w:sz w:val="24"/>
                <w14:textFill>
                  <w14:solidFill>
                    <w14:schemeClr w14:val="tx1"/>
                  </w14:solidFill>
                </w14:textFill>
              </w:rPr>
              <w:t>0.00162t/a，满足项目环评核算的总量控制范围。</w:t>
            </w:r>
          </w:p>
          <w:p>
            <w:pPr>
              <w:spacing w:line="360" w:lineRule="auto"/>
              <w:ind w:right="178" w:rightChars="85"/>
              <w:rPr>
                <w:rFonts w:eastAsia="黑体"/>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9.2“三同时”执行情况</w:t>
            </w:r>
          </w:p>
          <w:p>
            <w:pPr>
              <w:pStyle w:val="24"/>
              <w:spacing w:before="0" w:beforeAutospacing="0" w:after="0" w:afterAutospacing="0" w:line="360" w:lineRule="auto"/>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武汉普诺赛生命科技有限公司新型无血清培养基研发项目二期</w:t>
            </w:r>
            <w:r>
              <w:rPr>
                <w:rFonts w:ascii="Times New Roman" w:hAnsi="Times New Roman" w:cs="Times New Roman"/>
                <w:color w:val="000000" w:themeColor="text1"/>
                <w14:textFill>
                  <w14:solidFill>
                    <w14:schemeClr w14:val="tx1"/>
                  </w14:solidFill>
                </w14:textFill>
              </w:rPr>
              <w:t>位于武汉市东湖高新技术开发区高新大道858号光谷生物城生物医药园中试区C4栋二层、五层，项目于</w:t>
            </w:r>
            <w:r>
              <w:rPr>
                <w:rFonts w:ascii="Times New Roman" w:hAnsi="Times New Roman" w:cs="Times New Roman" w:eastAsiaTheme="minorEastAsia"/>
                <w:color w:val="000000" w:themeColor="text1"/>
                <w:kern w:val="2"/>
                <w14:textFill>
                  <w14:solidFill>
                    <w14:schemeClr w14:val="tx1"/>
                  </w14:solidFill>
                </w14:textFill>
              </w:rPr>
              <w:t>2020年9月</w:t>
            </w:r>
            <w:r>
              <w:rPr>
                <w:rFonts w:ascii="Times New Roman" w:hAnsi="Times New Roman" w:cs="Times New Roman"/>
                <w:color w:val="000000" w:themeColor="text1"/>
                <w14:textFill>
                  <w14:solidFill>
                    <w14:schemeClr w14:val="tx1"/>
                  </w14:solidFill>
                </w14:textFill>
              </w:rPr>
              <w:t>委托武汉智汇元环保科技有限公司承担“</w:t>
            </w:r>
            <w:r>
              <w:rPr>
                <w:rFonts w:ascii="Times New Roman" w:hAnsi="Times New Roman" w:cs="Times New Roman"/>
              </w:rPr>
              <w:t>新型无血清培养基研发项目二期</w:t>
            </w:r>
            <w:r>
              <w:rPr>
                <w:rFonts w:ascii="Times New Roman" w:hAnsi="Times New Roman" w:cs="Times New Roman"/>
                <w:color w:val="000000" w:themeColor="text1"/>
                <w14:textFill>
                  <w14:solidFill>
                    <w14:schemeClr w14:val="tx1"/>
                  </w14:solidFill>
                </w14:textFill>
              </w:rPr>
              <w:t>”项目的环境影响评价工作，并于</w:t>
            </w:r>
            <w:r>
              <w:rPr>
                <w:rFonts w:ascii="Times New Roman" w:hAnsi="Times New Roman" w:cs="Times New Roman"/>
              </w:rPr>
              <w:t>2021年1月20日</w:t>
            </w:r>
            <w:r>
              <w:rPr>
                <w:rFonts w:ascii="Times New Roman" w:hAnsi="Times New Roman" w:cs="Times New Roman"/>
                <w:color w:val="000000" w:themeColor="text1"/>
                <w14:textFill>
                  <w14:solidFill>
                    <w14:schemeClr w14:val="tx1"/>
                  </w14:solidFill>
                </w14:textFill>
              </w:rPr>
              <w:t>取得了武汉东湖新技术开发区生态环境和水务湖泊局下发的</w:t>
            </w:r>
            <w:r>
              <w:rPr>
                <w:rFonts w:ascii="Times New Roman" w:hAnsi="Times New Roman" w:cs="Times New Roman"/>
              </w:rPr>
              <w:t>《关于武汉普诺赛生命科技有限公司新型无血清培养基研发项目二期环境影响报告表的批复》（武新环告[2021]7号）</w:t>
            </w:r>
            <w:r>
              <w:rPr>
                <w:rFonts w:ascii="Times New Roman" w:hAnsi="Times New Roman" w:cs="Times New Roman"/>
                <w:color w:val="000000" w:themeColor="text1"/>
                <w14:textFill>
                  <w14:solidFill>
                    <w14:schemeClr w14:val="tx1"/>
                  </w14:solidFill>
                </w14:textFill>
              </w:rPr>
              <w:t>。</w:t>
            </w:r>
            <w:r>
              <w:rPr>
                <w:rFonts w:ascii="Times New Roman" w:hAnsi="Times New Roman" w:cs="Times New Roman" w:eastAsiaTheme="minorEastAsia"/>
                <w:color w:val="000000" w:themeColor="text1"/>
                <w14:textFill>
                  <w14:solidFill>
                    <w14:schemeClr w14:val="tx1"/>
                  </w14:solidFill>
                </w14:textFill>
              </w:rPr>
              <w:t>202</w:t>
            </w:r>
            <w:r>
              <w:rPr>
                <w:rFonts w:hint="eastAsia" w:ascii="Times New Roman" w:hAnsi="Times New Roman" w:cs="Times New Roman" w:eastAsiaTheme="minorEastAsia"/>
                <w:color w:val="000000" w:themeColor="text1"/>
                <w14:textFill>
                  <w14:solidFill>
                    <w14:schemeClr w14:val="tx1"/>
                  </w14:solidFill>
                </w14:textFill>
              </w:rPr>
              <w:t>2</w:t>
            </w:r>
            <w:r>
              <w:rPr>
                <w:rFonts w:ascii="Times New Roman" w:hAnsi="Times New Roman" w:cs="Times New Roman" w:eastAsiaTheme="minorEastAsia"/>
                <w:color w:val="000000" w:themeColor="text1"/>
                <w14:textFill>
                  <w14:solidFill>
                    <w14:schemeClr w14:val="tx1"/>
                  </w14:solidFill>
                </w14:textFill>
              </w:rPr>
              <w:t>年</w:t>
            </w:r>
            <w:r>
              <w:rPr>
                <w:rFonts w:hint="eastAsia" w:ascii="Times New Roman" w:hAnsi="Times New Roman" w:cs="Times New Roman" w:eastAsiaTheme="minorEastAsia"/>
                <w:color w:val="000000" w:themeColor="text1"/>
                <w14:textFill>
                  <w14:solidFill>
                    <w14:schemeClr w14:val="tx1"/>
                  </w14:solidFill>
                </w14:textFill>
              </w:rPr>
              <w:t>3</w:t>
            </w:r>
            <w:r>
              <w:rPr>
                <w:rFonts w:ascii="Times New Roman" w:hAnsi="Times New Roman" w:cs="Times New Roman" w:eastAsiaTheme="minorEastAsia"/>
                <w:color w:val="000000" w:themeColor="text1"/>
                <w14:textFill>
                  <w14:solidFill>
                    <w14:schemeClr w14:val="tx1"/>
                  </w14:solidFill>
                </w14:textFill>
              </w:rPr>
              <w:t>月</w:t>
            </w:r>
            <w:r>
              <w:rPr>
                <w:rFonts w:ascii="Times New Roman" w:hAnsi="Times New Roman" w:cs="Times New Roman"/>
                <w:color w:val="000000" w:themeColor="text1"/>
                <w14:textFill>
                  <w14:solidFill>
                    <w14:schemeClr w14:val="tx1"/>
                  </w14:solidFill>
                </w14:textFill>
              </w:rPr>
              <w:t>，武汉普诺赛生命科技有限公司</w:t>
            </w:r>
            <w:r>
              <w:rPr>
                <w:rFonts w:ascii="Times New Roman" w:hAnsi="Times New Roman" w:cs="Times New Roman" w:eastAsiaTheme="minorEastAsia"/>
                <w:color w:val="000000" w:themeColor="text1"/>
                <w14:textFill>
                  <w14:solidFill>
                    <w14:schemeClr w14:val="tx1"/>
                  </w14:solidFill>
                </w14:textFill>
              </w:rPr>
              <w:t>委托湖北格物生态环境科技有限公司新型无血清培养基研发项目二期建设项目竣工环境保护验收工作。</w:t>
            </w:r>
            <w:r>
              <w:rPr>
                <w:rFonts w:ascii="Times New Roman" w:hAnsi="Times New Roman" w:cs="Times New Roman"/>
                <w:color w:val="000000" w:themeColor="text1"/>
                <w14:textFill>
                  <w14:solidFill>
                    <w14:schemeClr w14:val="tx1"/>
                  </w14:solidFill>
                </w14:textFill>
              </w:rPr>
              <w:t>该项目在实施过程中，执行了国家建设项目环境保护“三同时”制度，基本落实了环评报告表及其审批文件中提出的各项污染防治措施，工程环保设施的建设基本实现了与主体工程同时设计、同时施工、同时投入运行。</w:t>
            </w:r>
          </w:p>
          <w:p>
            <w:pPr>
              <w:spacing w:line="360" w:lineRule="auto"/>
              <w:ind w:right="178" w:rightChars="85"/>
              <w:rPr>
                <w:rFonts w:eastAsia="黑体"/>
                <w:b/>
                <w:color w:val="000000" w:themeColor="text1"/>
                <w:sz w:val="24"/>
                <w14:textFill>
                  <w14:solidFill>
                    <w14:schemeClr w14:val="tx1"/>
                  </w14:solidFill>
                </w14:textFill>
              </w:rPr>
            </w:pPr>
            <w:r>
              <w:rPr>
                <w:rFonts w:eastAsia="黑体"/>
                <w:color w:val="000000" w:themeColor="text1"/>
                <w:sz w:val="24"/>
                <w14:textFill>
                  <w14:solidFill>
                    <w14:schemeClr w14:val="tx1"/>
                  </w14:solidFill>
                </w14:textFill>
              </w:rPr>
              <w:t>9.3建议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（1）进一步建立健全环保档案，包括环评报告、环保工程验收报告、污染源监测报告、环保设备及运行记录以及其它环境统计资料。</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（2）定期对</w:t>
            </w:r>
            <w:r>
              <w:rPr>
                <w:rFonts w:hint="eastAsia"/>
                <w:color w:val="000000" w:themeColor="text1"/>
                <w:sz w:val="24"/>
                <w14:textFill>
                  <w14:solidFill>
                    <w14:schemeClr w14:val="tx1"/>
                  </w14:solidFill>
                </w14:textFill>
              </w:rPr>
              <w:t>化粪池进行</w:t>
            </w:r>
            <w:r>
              <w:rPr>
                <w:color w:val="000000" w:themeColor="text1"/>
                <w:sz w:val="24"/>
                <w14:textFill>
                  <w14:solidFill>
                    <w14:schemeClr w14:val="tx1"/>
                  </w14:solidFill>
                </w14:textFill>
              </w:rPr>
              <w:t>清理、</w:t>
            </w:r>
            <w:r>
              <w:rPr>
                <w:rFonts w:hint="eastAsia"/>
                <w:color w:val="000000" w:themeColor="text1"/>
                <w:sz w:val="24"/>
                <w14:textFill>
                  <w14:solidFill>
                    <w14:schemeClr w14:val="tx1"/>
                  </w14:solidFill>
                </w14:textFill>
              </w:rPr>
              <w:t>对废气</w:t>
            </w:r>
            <w:r>
              <w:rPr>
                <w:color w:val="000000" w:themeColor="text1"/>
                <w:sz w:val="24"/>
                <w14:textFill>
                  <w14:solidFill>
                    <w14:schemeClr w14:val="tx1"/>
                  </w14:solidFill>
                </w14:textFill>
              </w:rPr>
              <w:t>处理设施进行维护。</w:t>
            </w:r>
          </w:p>
          <w:p>
            <w:pPr>
              <w:pStyle w:val="112"/>
              <w:spacing w:before="0" w:beforeAutospacing="0" w:after="0" w:afterAutospacing="0" w:line="360" w:lineRule="auto"/>
              <w:ind w:firstLine="480" w:firstLineChars="200"/>
              <w:jc w:val="both"/>
              <w:outlineLvl w:val="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2"/>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t>对员工进行经常性的环保教育和培训，提高员工的环保意识和操作技能。</w:t>
            </w:r>
          </w:p>
          <w:p>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（4）加强对固体废物的管理，合理并及时的对固体废物进行处理。</w:t>
            </w:r>
          </w:p>
          <w:p>
            <w:pPr>
              <w:spacing w:line="360" w:lineRule="auto"/>
              <w:ind w:left="480"/>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headerReference r:id="rId3" w:type="default"/>
          <w:footerReference r:id="rId4"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19"/>
        <w:spacing w:before="0" w:after="156" w:afterLines="50" w:line="360" w:lineRule="auto"/>
        <w:rPr>
          <w:rFonts w:ascii="Times New Roman" w:hAnsi="Times New Roman" w:eastAsia="黑体"/>
          <w:color w:val="000000" w:themeColor="text1"/>
          <w14:textFill>
            <w14:solidFill>
              <w14:schemeClr w14:val="tx1"/>
            </w14:solidFill>
          </w14:textFill>
        </w:rPr>
      </w:pPr>
      <w:bookmarkStart w:id="26" w:name="_Toc525552355"/>
      <w:r>
        <w:rPr>
          <w:rFonts w:ascii="Times New Roman" w:hAnsi="Times New Roman"/>
          <w:color w:val="000000" w:themeColor="text1"/>
          <w14:textFill>
            <w14:solidFill>
              <w14:schemeClr w14:val="tx1"/>
            </w14:solidFill>
          </w14:textFill>
        </w:rPr>
        <w:t>建设项目工程竣工环境保护“三同时”验收登记表</w:t>
      </w:r>
      <w:bookmarkEnd w:id="26"/>
    </w:p>
    <w:p>
      <w:pPr>
        <w:rPr>
          <w:color w:val="000000" w:themeColor="text1"/>
          <w:sz w:val="20"/>
          <w:szCs w:val="21"/>
          <w14:textFill>
            <w14:solidFill>
              <w14:schemeClr w14:val="tx1"/>
            </w14:solidFill>
          </w14:textFill>
        </w:rPr>
      </w:pPr>
      <w:r>
        <w:rPr>
          <w:color w:val="000000" w:themeColor="text1"/>
          <w:szCs w:val="21"/>
          <w14:textFill>
            <w14:solidFill>
              <w14:schemeClr w14:val="tx1"/>
            </w14:solidFill>
          </w14:textFill>
        </w:rPr>
        <w:t>填表单位（盖章）：武汉普诺赛生命科技有限公司             填表人（签字）：                        项目经办人（签字）：</w:t>
      </w:r>
    </w:p>
    <w:tbl>
      <w:tblPr>
        <w:tblStyle w:val="28"/>
        <w:tblW w:w="14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1375"/>
        <w:gridCol w:w="567"/>
        <w:gridCol w:w="142"/>
        <w:gridCol w:w="693"/>
        <w:gridCol w:w="923"/>
        <w:gridCol w:w="577"/>
        <w:gridCol w:w="418"/>
        <w:gridCol w:w="105"/>
        <w:gridCol w:w="828"/>
        <w:gridCol w:w="705"/>
        <w:gridCol w:w="347"/>
        <w:gridCol w:w="222"/>
        <w:gridCol w:w="852"/>
        <w:gridCol w:w="917"/>
        <w:gridCol w:w="784"/>
        <w:gridCol w:w="425"/>
        <w:gridCol w:w="992"/>
        <w:gridCol w:w="897"/>
        <w:gridCol w:w="273"/>
        <w:gridCol w:w="663"/>
        <w:gridCol w:w="293"/>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restart"/>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建设项目</w:t>
            </w: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项目名称</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新型无血清培养基研发项目二期</w:t>
            </w:r>
          </w:p>
        </w:tc>
        <w:tc>
          <w:tcPr>
            <w:tcW w:w="2102" w:type="dxa"/>
            <w:gridSpan w:val="4"/>
            <w:vAlign w:val="center"/>
          </w:tcPr>
          <w:p>
            <w:pPr>
              <w:spacing w:line="240" w:lineRule="exact"/>
              <w:jc w:val="center"/>
              <w:rPr>
                <w:color w:val="000000" w:themeColor="text1"/>
                <w:sz w:val="16"/>
                <w:szCs w:val="16"/>
                <w:highlight w:val="yellow"/>
                <w14:textFill>
                  <w14:solidFill>
                    <w14:schemeClr w14:val="tx1"/>
                  </w14:solidFill>
                </w14:textFill>
              </w:rPr>
            </w:pPr>
            <w:r>
              <w:rPr>
                <w:color w:val="000000" w:themeColor="text1"/>
                <w:sz w:val="16"/>
                <w:szCs w:val="16"/>
                <w14:textFill>
                  <w14:solidFill>
                    <w14:schemeClr w14:val="tx1"/>
                  </w14:solidFill>
                </w14:textFill>
              </w:rPr>
              <w:t>项目代码</w:t>
            </w:r>
          </w:p>
        </w:tc>
        <w:tc>
          <w:tcPr>
            <w:tcW w:w="2553" w:type="dxa"/>
            <w:gridSpan w:val="3"/>
            <w:vAlign w:val="center"/>
          </w:tcPr>
          <w:p>
            <w:pPr>
              <w:spacing w:line="240" w:lineRule="exact"/>
              <w:jc w:val="center"/>
              <w:rPr>
                <w:color w:val="000000" w:themeColor="text1"/>
                <w:sz w:val="16"/>
                <w:szCs w:val="16"/>
                <w:highlight w:val="yellow"/>
                <w14:textFill>
                  <w14:solidFill>
                    <w14:schemeClr w14:val="tx1"/>
                  </w14:solidFill>
                </w14:textFill>
              </w:rPr>
            </w:pPr>
            <w:r>
              <w:rPr>
                <w:color w:val="000000" w:themeColor="text1"/>
                <w:sz w:val="16"/>
                <w:szCs w:val="16"/>
                <w14:textFill>
                  <w14:solidFill>
                    <w14:schemeClr w14:val="tx1"/>
                  </w14:solidFill>
                </w14:textFill>
              </w:rPr>
              <w:t>/</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建设地点</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武汉市东湖高新技术开发区高新大道858号光谷生物城生物医药园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行业类别（分类管理名录）</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M7310 自然科学研究和试验发展</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建设性质</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sym w:font="Wingdings 2" w:char="F052"/>
            </w:r>
            <w:r>
              <w:rPr>
                <w:color w:val="000000" w:themeColor="text1"/>
                <w:sz w:val="16"/>
                <w:szCs w:val="16"/>
                <w14:textFill>
                  <w14:solidFill>
                    <w14:schemeClr w14:val="tx1"/>
                  </w14:solidFill>
                </w14:textFill>
              </w:rPr>
              <w:t>新建；□改扩建；□技术改造</w:t>
            </w:r>
          </w:p>
        </w:tc>
        <w:tc>
          <w:tcPr>
            <w:tcW w:w="1417" w:type="dxa"/>
            <w:gridSpan w:val="2"/>
            <w:vAlign w:val="center"/>
          </w:tcPr>
          <w:p>
            <w:pPr>
              <w:spacing w:line="240" w:lineRule="exact"/>
              <w:jc w:val="center"/>
              <w:rPr>
                <w:color w:val="000000" w:themeColor="text1"/>
                <w:kern w:val="0"/>
                <w:sz w:val="16"/>
                <w:szCs w:val="16"/>
                <w14:textFill>
                  <w14:solidFill>
                    <w14:schemeClr w14:val="tx1"/>
                  </w14:solidFill>
                </w14:textFill>
              </w:rPr>
            </w:pPr>
            <w:r>
              <w:rPr>
                <w:color w:val="000000" w:themeColor="text1"/>
                <w:kern w:val="0"/>
                <w:sz w:val="16"/>
                <w:szCs w:val="16"/>
                <w14:textFill>
                  <w14:solidFill>
                    <w14:schemeClr w14:val="tx1"/>
                  </w14:solidFill>
                </w14:textFill>
              </w:rPr>
              <w:t>项目厂区中心经度/纬度</w:t>
            </w:r>
          </w:p>
        </w:tc>
        <w:tc>
          <w:tcPr>
            <w:tcW w:w="2774" w:type="dxa"/>
            <w:gridSpan w:val="5"/>
            <w:vAlign w:val="center"/>
          </w:tcPr>
          <w:p>
            <w:pPr>
              <w:spacing w:line="240" w:lineRule="exact"/>
              <w:jc w:val="center"/>
              <w:rPr>
                <w:color w:val="000000" w:themeColor="text1"/>
                <w:kern w:val="0"/>
                <w:sz w:val="16"/>
                <w:szCs w:val="16"/>
                <w14:textFill>
                  <w14:solidFill>
                    <w14:schemeClr w14:val="tx1"/>
                  </w14:solidFill>
                </w14:textFill>
              </w:rPr>
            </w:pPr>
            <w:r>
              <w:rPr>
                <w:color w:val="000000" w:themeColor="text1"/>
                <w:kern w:val="0"/>
                <w:sz w:val="16"/>
                <w:szCs w:val="16"/>
                <w14:textFill>
                  <w14:solidFill>
                    <w14:schemeClr w14:val="tx1"/>
                  </w14:solidFill>
                </w14:textFill>
              </w:rPr>
              <w:t>114º33′6.00″；30º 28′56.17″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设计生产能力</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研发量约500次/年</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实际生产能力</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研发量约500次/年</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环评单位</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武汉智汇元环保科技有限公司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环评文件审批机关</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武汉东湖新技术开发区生态环境和水务湖泊局</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审批文号</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武新环告[2021]7号</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环评文件类型</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sz w:val="16"/>
                <w:szCs w:val="16"/>
              </w:rPr>
            </w:pPr>
            <w:r>
              <w:rPr>
                <w:sz w:val="16"/>
                <w:szCs w:val="16"/>
              </w:rPr>
              <w:t>开工日期</w:t>
            </w:r>
          </w:p>
        </w:tc>
        <w:tc>
          <w:tcPr>
            <w:tcW w:w="2716" w:type="dxa"/>
            <w:gridSpan w:val="5"/>
            <w:vAlign w:val="center"/>
          </w:tcPr>
          <w:p>
            <w:pPr>
              <w:spacing w:line="240" w:lineRule="exact"/>
              <w:jc w:val="center"/>
              <w:rPr>
                <w:sz w:val="16"/>
                <w:szCs w:val="16"/>
                <w:highlight w:val="yellow"/>
              </w:rPr>
            </w:pPr>
            <w:r>
              <w:rPr>
                <w:sz w:val="16"/>
                <w:szCs w:val="16"/>
              </w:rPr>
              <w:t>2021年2月</w:t>
            </w:r>
          </w:p>
        </w:tc>
        <w:tc>
          <w:tcPr>
            <w:tcW w:w="2102" w:type="dxa"/>
            <w:gridSpan w:val="4"/>
            <w:shd w:val="clear" w:color="auto" w:fill="auto"/>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竣工日期</w:t>
            </w:r>
          </w:p>
        </w:tc>
        <w:tc>
          <w:tcPr>
            <w:tcW w:w="2553" w:type="dxa"/>
            <w:gridSpan w:val="3"/>
            <w:shd w:val="clear" w:color="auto" w:fill="auto"/>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2021年3月（主体工程）</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排污许可证申领时间</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环保设施设计单位</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武汉优尚实验科技有限公司</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环保设施施工单位</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武汉优尚实验科技有限公司</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本工程排污许可证编号</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验收单位</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湖北格物生态环境科技有限公司</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环保设施监测单位</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湖北跃华检测有限公司</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验收监测时工况</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投资总概算（万元）</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300</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环保投资总概算（万元）</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kern w:val="0"/>
                <w:sz w:val="16"/>
                <w:szCs w:val="16"/>
                <w14:textFill>
                  <w14:solidFill>
                    <w14:schemeClr w14:val="tx1"/>
                  </w14:solidFill>
                </w14:textFill>
              </w:rPr>
              <w:t>14</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所占比例（%）</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实际总投资（万元）</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300</w:t>
            </w:r>
          </w:p>
        </w:tc>
        <w:tc>
          <w:tcPr>
            <w:tcW w:w="2102" w:type="dxa"/>
            <w:gridSpan w:val="4"/>
            <w:vAlign w:val="center"/>
          </w:tcPr>
          <w:p>
            <w:pPr>
              <w:spacing w:line="240" w:lineRule="exact"/>
              <w:jc w:val="center"/>
              <w:rPr>
                <w:sz w:val="16"/>
                <w:szCs w:val="16"/>
              </w:rPr>
            </w:pPr>
            <w:r>
              <w:rPr>
                <w:sz w:val="16"/>
                <w:szCs w:val="16"/>
              </w:rPr>
              <w:t>实际环保总投资（万元）</w:t>
            </w:r>
          </w:p>
        </w:tc>
        <w:tc>
          <w:tcPr>
            <w:tcW w:w="2553" w:type="dxa"/>
            <w:gridSpan w:val="3"/>
            <w:vAlign w:val="center"/>
          </w:tcPr>
          <w:p>
            <w:pPr>
              <w:spacing w:line="240" w:lineRule="exact"/>
              <w:jc w:val="center"/>
              <w:rPr>
                <w:sz w:val="16"/>
                <w:szCs w:val="16"/>
              </w:rPr>
            </w:pPr>
            <w:r>
              <w:rPr>
                <w:rFonts w:hint="eastAsia"/>
                <w:sz w:val="16"/>
                <w:szCs w:val="16"/>
              </w:rPr>
              <w:t>15</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所占比例（%）</w:t>
            </w:r>
          </w:p>
        </w:tc>
        <w:tc>
          <w:tcPr>
            <w:tcW w:w="2774" w:type="dxa"/>
            <w:gridSpan w:val="5"/>
            <w:vAlign w:val="center"/>
          </w:tcPr>
          <w:p>
            <w:pPr>
              <w:spacing w:line="240" w:lineRule="exact"/>
              <w:jc w:val="center"/>
              <w:rPr>
                <w:color w:val="000000" w:themeColor="text1"/>
                <w:sz w:val="16"/>
                <w:szCs w:val="16"/>
                <w:highlight w:val="yellow"/>
                <w14:textFill>
                  <w14:solidFill>
                    <w14:schemeClr w14:val="tx1"/>
                  </w14:solidFill>
                </w14:textFill>
              </w:rPr>
            </w:pPr>
            <w:r>
              <w:rPr>
                <w:rFonts w:hint="eastAsia"/>
                <w:color w:val="000000" w:themeColor="text1"/>
                <w:sz w:val="16"/>
                <w:szCs w:val="16"/>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废水治理（万元）</w:t>
            </w:r>
          </w:p>
        </w:tc>
        <w:tc>
          <w:tcPr>
            <w:tcW w:w="693" w:type="dxa"/>
            <w:vAlign w:val="center"/>
          </w:tcPr>
          <w:p>
            <w:pPr>
              <w:spacing w:line="240" w:lineRule="exact"/>
              <w:jc w:val="center"/>
              <w:rPr>
                <w:color w:val="000000" w:themeColor="text1"/>
                <w:sz w:val="16"/>
                <w:szCs w:val="16"/>
                <w:highlight w:val="yellow"/>
                <w14:textFill>
                  <w14:solidFill>
                    <w14:schemeClr w14:val="tx1"/>
                  </w14:solidFill>
                </w14:textFill>
              </w:rPr>
            </w:pPr>
            <w:r>
              <w:rPr>
                <w:rFonts w:hint="eastAsia"/>
                <w:color w:val="000000" w:themeColor="text1"/>
                <w:sz w:val="16"/>
                <w:szCs w:val="16"/>
                <w14:textFill>
                  <w14:solidFill>
                    <w14:schemeClr w14:val="tx1"/>
                  </w14:solidFill>
                </w14:textFill>
              </w:rPr>
              <w:t>1.0</w:t>
            </w:r>
          </w:p>
        </w:tc>
        <w:tc>
          <w:tcPr>
            <w:tcW w:w="1500"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废气治理（万元）</w:t>
            </w:r>
          </w:p>
        </w:tc>
        <w:tc>
          <w:tcPr>
            <w:tcW w:w="523" w:type="dxa"/>
            <w:gridSpan w:val="2"/>
            <w:vAlign w:val="center"/>
          </w:tcPr>
          <w:p>
            <w:pPr>
              <w:spacing w:line="240" w:lineRule="exact"/>
              <w:jc w:val="center"/>
              <w:rPr>
                <w:color w:val="000000" w:themeColor="text1"/>
                <w:sz w:val="16"/>
                <w:szCs w:val="16"/>
                <w:highlight w:val="yellow"/>
                <w14:textFill>
                  <w14:solidFill>
                    <w14:schemeClr w14:val="tx1"/>
                  </w14:solidFill>
                </w14:textFill>
              </w:rPr>
            </w:pPr>
            <w:r>
              <w:rPr>
                <w:rFonts w:hint="eastAsia"/>
                <w:color w:val="000000" w:themeColor="text1"/>
                <w:sz w:val="16"/>
                <w:szCs w:val="16"/>
                <w14:textFill>
                  <w14:solidFill>
                    <w14:schemeClr w14:val="tx1"/>
                  </w14:solidFill>
                </w14:textFill>
              </w:rPr>
              <w:t>5.0</w:t>
            </w:r>
          </w:p>
        </w:tc>
        <w:tc>
          <w:tcPr>
            <w:tcW w:w="15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噪声治理（万元）</w:t>
            </w:r>
          </w:p>
        </w:tc>
        <w:tc>
          <w:tcPr>
            <w:tcW w:w="569" w:type="dxa"/>
            <w:gridSpan w:val="2"/>
            <w:vAlign w:val="center"/>
          </w:tcPr>
          <w:p>
            <w:pPr>
              <w:spacing w:line="240" w:lineRule="exact"/>
              <w:jc w:val="center"/>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5.0</w:t>
            </w:r>
          </w:p>
        </w:tc>
        <w:tc>
          <w:tcPr>
            <w:tcW w:w="176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固体废物治理</w:t>
            </w:r>
          </w:p>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（万元）</w:t>
            </w:r>
          </w:p>
        </w:tc>
        <w:tc>
          <w:tcPr>
            <w:tcW w:w="784" w:type="dxa"/>
            <w:vAlign w:val="center"/>
          </w:tcPr>
          <w:p>
            <w:pPr>
              <w:spacing w:line="240" w:lineRule="exact"/>
              <w:jc w:val="center"/>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4.0</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绿化及生态</w:t>
            </w:r>
          </w:p>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（万元）</w:t>
            </w:r>
          </w:p>
        </w:tc>
        <w:tc>
          <w:tcPr>
            <w:tcW w:w="1170" w:type="dxa"/>
            <w:gridSpan w:val="2"/>
            <w:vAlign w:val="center"/>
          </w:tcPr>
          <w:p>
            <w:pPr>
              <w:spacing w:line="240" w:lineRule="exact"/>
              <w:jc w:val="center"/>
              <w:rPr>
                <w:color w:val="000000" w:themeColor="text1"/>
                <w:sz w:val="16"/>
                <w:szCs w:val="16"/>
                <w:highlight w:val="yellow"/>
                <w14:textFill>
                  <w14:solidFill>
                    <w14:schemeClr w14:val="tx1"/>
                  </w14:solidFill>
                </w14:textFill>
              </w:rPr>
            </w:pPr>
            <w:r>
              <w:rPr>
                <w:rFonts w:hint="eastAsia"/>
                <w:color w:val="000000" w:themeColor="text1"/>
                <w:sz w:val="16"/>
                <w:szCs w:val="16"/>
                <w14:textFill>
                  <w14:solidFill>
                    <w14:schemeClr w14:val="tx1"/>
                  </w14:solidFill>
                </w14:textFill>
              </w:rPr>
              <w:t>/</w:t>
            </w:r>
          </w:p>
        </w:tc>
        <w:tc>
          <w:tcPr>
            <w:tcW w:w="95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其他</w:t>
            </w:r>
          </w:p>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（万元）</w:t>
            </w:r>
          </w:p>
        </w:tc>
        <w:tc>
          <w:tcPr>
            <w:tcW w:w="648" w:type="dxa"/>
            <w:vAlign w:val="center"/>
          </w:tcPr>
          <w:p>
            <w:pPr>
              <w:spacing w:line="240" w:lineRule="exact"/>
              <w:jc w:val="center"/>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2084"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新增废水处理设施能力</w:t>
            </w:r>
          </w:p>
        </w:tc>
        <w:tc>
          <w:tcPr>
            <w:tcW w:w="2716"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/t/d</w:t>
            </w:r>
          </w:p>
        </w:tc>
        <w:tc>
          <w:tcPr>
            <w:tcW w:w="2102"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新增废气处理设施能力</w:t>
            </w:r>
          </w:p>
        </w:tc>
        <w:tc>
          <w:tcPr>
            <w:tcW w:w="2553"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/Nm</w:t>
            </w:r>
            <w:r>
              <w:rPr>
                <w:color w:val="000000" w:themeColor="text1"/>
                <w:sz w:val="16"/>
                <w:szCs w:val="16"/>
                <w:vertAlign w:val="superscript"/>
                <w14:textFill>
                  <w14:solidFill>
                    <w14:schemeClr w14:val="tx1"/>
                  </w14:solidFill>
                </w14:textFill>
              </w:rPr>
              <w:t>3</w:t>
            </w:r>
            <w:r>
              <w:rPr>
                <w:color w:val="000000" w:themeColor="text1"/>
                <w:sz w:val="16"/>
                <w:szCs w:val="16"/>
                <w14:textFill>
                  <w14:solidFill>
                    <w14:schemeClr w14:val="tx1"/>
                  </w14:solidFill>
                </w14:textFill>
              </w:rPr>
              <w:t>/h</w:t>
            </w:r>
          </w:p>
        </w:tc>
        <w:tc>
          <w:tcPr>
            <w:tcW w:w="1417"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年平均工作时</w:t>
            </w:r>
          </w:p>
        </w:tc>
        <w:tc>
          <w:tcPr>
            <w:tcW w:w="2774" w:type="dxa"/>
            <w:gridSpan w:val="5"/>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660"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运营单位</w:t>
            </w:r>
          </w:p>
        </w:tc>
        <w:tc>
          <w:tcPr>
            <w:tcW w:w="3544" w:type="dxa"/>
            <w:gridSpan w:val="6"/>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武汉普诺赛生命科技有限公司</w:t>
            </w:r>
          </w:p>
        </w:tc>
        <w:tc>
          <w:tcPr>
            <w:tcW w:w="2126" w:type="dxa"/>
            <w:gridSpan w:val="4"/>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运营单位社会统一信用代码（或组织机构代码）</w:t>
            </w:r>
          </w:p>
        </w:tc>
        <w:tc>
          <w:tcPr>
            <w:tcW w:w="2126" w:type="dxa"/>
            <w:gridSpan w:val="3"/>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91420100081970550H</w:t>
            </w:r>
          </w:p>
        </w:tc>
        <w:tc>
          <w:tcPr>
            <w:tcW w:w="992" w:type="dxa"/>
            <w:vAlign w:val="center"/>
          </w:tcPr>
          <w:p>
            <w:pPr>
              <w:spacing w:line="240" w:lineRule="exact"/>
              <w:jc w:val="center"/>
              <w:rPr>
                <w:color w:val="C00000"/>
                <w:sz w:val="16"/>
                <w:szCs w:val="16"/>
              </w:rPr>
            </w:pPr>
            <w:r>
              <w:rPr>
                <w:sz w:val="16"/>
                <w:szCs w:val="16"/>
              </w:rPr>
              <w:t>验收时间</w:t>
            </w:r>
          </w:p>
        </w:tc>
        <w:tc>
          <w:tcPr>
            <w:tcW w:w="2774" w:type="dxa"/>
            <w:gridSpan w:val="5"/>
            <w:vAlign w:val="center"/>
          </w:tcPr>
          <w:p>
            <w:pPr>
              <w:spacing w:line="240" w:lineRule="exact"/>
              <w:jc w:val="center"/>
              <w:rPr>
                <w:color w:val="C00000"/>
                <w:sz w:val="16"/>
                <w:szCs w:val="16"/>
              </w:rPr>
            </w:pPr>
            <w:r>
              <w:rPr>
                <w:sz w:val="16"/>
                <w:szCs w:val="16"/>
              </w:rPr>
              <w:t>2022年3月9</w:t>
            </w:r>
            <w:r>
              <w:rPr>
                <w:rFonts w:hint="eastAsia"/>
                <w:sz w:val="16"/>
                <w:szCs w:val="16"/>
              </w:rPr>
              <w:t>~</w:t>
            </w:r>
            <w:r>
              <w:rPr>
                <w:sz w:val="16"/>
                <w:szCs w:val="16"/>
              </w:rPr>
              <w:t>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restart"/>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污染物排放达标与总量控制（工业建设项目祥填）</w:t>
            </w: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污染物</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原有排放量</w:t>
            </w:r>
          </w:p>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（1）</w:t>
            </w:r>
          </w:p>
        </w:tc>
        <w:tc>
          <w:tcPr>
            <w:tcW w:w="923"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本期工程实际排放浓度（2）</w:t>
            </w:r>
          </w:p>
        </w:tc>
        <w:tc>
          <w:tcPr>
            <w:tcW w:w="99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本期工程允许排放浓度（3）</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本期工程产生量（4）</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本期工程自身削减量（5）</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本期工程实际排放量（6）</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本期工程核定排放总量（7）</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本期工程“以新带老”削减量（8）</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全厂实际排放总量（9）</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全厂核定排放总量（10）</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区域平衡替代削减量（11）</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废水</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化学需氧量</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氨氮</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石油类</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废气</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VOCs</w:t>
            </w:r>
          </w:p>
        </w:tc>
        <w:tc>
          <w:tcPr>
            <w:tcW w:w="835"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ND（2）</w:t>
            </w:r>
          </w:p>
        </w:tc>
        <w:tc>
          <w:tcPr>
            <w:tcW w:w="995" w:type="dxa"/>
            <w:gridSpan w:val="2"/>
            <w:vAlign w:val="center"/>
          </w:tcPr>
          <w:p>
            <w:pPr>
              <w:spacing w:line="240" w:lineRule="exact"/>
              <w:jc w:val="center"/>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60</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0.00162</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0.00675</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94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工业固体废物</w:t>
            </w:r>
          </w:p>
        </w:tc>
        <w:tc>
          <w:tcPr>
            <w:tcW w:w="835" w:type="dxa"/>
            <w:gridSpan w:val="2"/>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375" w:type="dxa"/>
            <w:vMerge w:val="restart"/>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与项目有关的其他特征污染物</w:t>
            </w:r>
          </w:p>
        </w:tc>
        <w:tc>
          <w:tcPr>
            <w:tcW w:w="56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35" w:type="dxa"/>
            <w:gridSpan w:val="2"/>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tcBorders>
              <w:bottom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76"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1375" w:type="dxa"/>
            <w:vMerge w:val="continue"/>
            <w:vAlign w:val="center"/>
          </w:tcPr>
          <w:p>
            <w:pPr>
              <w:spacing w:line="240" w:lineRule="exact"/>
              <w:jc w:val="center"/>
              <w:rPr>
                <w:color w:val="000000" w:themeColor="text1"/>
                <w:sz w:val="16"/>
                <w:szCs w:val="16"/>
                <w14:textFill>
                  <w14:solidFill>
                    <w14:schemeClr w14:val="tx1"/>
                  </w14:solidFill>
                </w14:textFill>
              </w:rPr>
            </w:pPr>
          </w:p>
        </w:tc>
        <w:tc>
          <w:tcPr>
            <w:tcW w:w="567" w:type="dxa"/>
            <w:tcBorders>
              <w:top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35" w:type="dxa"/>
            <w:gridSpan w:val="2"/>
            <w:tcBorders>
              <w:top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23" w:type="dxa"/>
            <w:tcBorders>
              <w:top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5" w:type="dxa"/>
            <w:gridSpan w:val="2"/>
            <w:tcBorders>
              <w:top w:val="single" w:color="auto" w:sz="4" w:space="0"/>
            </w:tcBorders>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3"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52"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074"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1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1209"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92"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897" w:type="dxa"/>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36"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c>
          <w:tcPr>
            <w:tcW w:w="941" w:type="dxa"/>
            <w:gridSpan w:val="2"/>
            <w:vAlign w:val="center"/>
          </w:tcPr>
          <w:p>
            <w:pPr>
              <w:spacing w:line="240" w:lineRule="exact"/>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w:t>
            </w:r>
          </w:p>
        </w:tc>
      </w:tr>
    </w:tbl>
    <w:p>
      <w:pPr>
        <w:rPr>
          <w:color w:val="000000" w:themeColor="text1"/>
          <w:sz w:val="13"/>
          <w:szCs w:val="13"/>
          <w14:textFill>
            <w14:solidFill>
              <w14:schemeClr w14:val="tx1"/>
            </w14:solidFill>
          </w14:textFill>
        </w:rPr>
      </w:pPr>
      <w:r>
        <w:rPr>
          <w:color w:val="000000" w:themeColor="text1"/>
          <w:sz w:val="13"/>
          <w:szCs w:val="13"/>
          <w14:textFill>
            <w14:solidFill>
              <w14:schemeClr w14:val="tx1"/>
            </w14:solidFill>
          </w14:textFill>
        </w:rPr>
        <w:t>注：1、排放增减量：(+)表示增加，(-)表示减少。2、(12)=(6)-(8)-(11)，(9)=(4)-(5)-(8)-(11)+(1)。3、计量单位：废水排放量——吨/年；废气排放量——吨/年；工业固体废物排放量——万吨/年；水污染物排放浓度——毫克/升。</w:t>
      </w:r>
    </w:p>
    <w:sectPr>
      <w:pgSz w:w="16838" w:h="11906" w:orient="landscape"/>
      <w:pgMar w:top="1134" w:right="1418" w:bottom="1134" w:left="1418" w:header="851" w:footer="85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thinThickSmallGap" w:color="auto" w:sz="24" w:space="1"/>
      </w:pBdr>
      <w:jc w:val="distribute"/>
    </w:pPr>
    <w:r>
      <w:rPr>
        <w:rFonts w:hint="eastAsia"/>
      </w:rPr>
      <w:t>湖北格物生态环境科技有限公司                                                                  -</w:t>
    </w:r>
    <w:r>
      <w:rPr>
        <w:rStyle w:val="32"/>
      </w:rPr>
      <w:fldChar w:fldCharType="begin"/>
    </w:r>
    <w:r>
      <w:rPr>
        <w:rStyle w:val="32"/>
      </w:rPr>
      <w:instrText xml:space="preserve"> PAGE </w:instrText>
    </w:r>
    <w:r>
      <w:rPr>
        <w:rStyle w:val="32"/>
      </w:rPr>
      <w:fldChar w:fldCharType="separate"/>
    </w:r>
    <w:r>
      <w:rPr>
        <w:rStyle w:val="32"/>
      </w:rPr>
      <w:t>1</w:t>
    </w:r>
    <w:r>
      <w:rPr>
        <w:rStyle w:val="32"/>
      </w:rPr>
      <w:fldChar w:fldCharType="end"/>
    </w:r>
    <w:r>
      <w:rPr>
        <w:rStyle w:val="32"/>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thickThinSmallGap" w:color="auto" w:sz="24" w:space="1"/>
      </w:pBdr>
      <w:tabs>
        <w:tab w:val="left" w:pos="2295"/>
        <w:tab w:val="center" w:pos="4513"/>
      </w:tabs>
      <w:rPr>
        <w:rFonts w:ascii="宋体" w:hAnsi="宋体"/>
        <w:sz w:val="16"/>
      </w:rPr>
    </w:pPr>
    <w:r>
      <w:rPr>
        <w:rFonts w:hint="eastAsia"/>
        <w:color w:val="000000"/>
        <w:sz w:val="16"/>
      </w:rPr>
      <w:t>新型无血清培养基研发项目二期竣工环境保护</w:t>
    </w:r>
    <w:r>
      <w:rPr>
        <w:color w:val="000000"/>
        <w:sz w:val="16"/>
      </w:rPr>
      <w:t>验收</w:t>
    </w:r>
    <w:r>
      <w:rPr>
        <w:rFonts w:hint="eastAsia"/>
        <w:color w:val="000000"/>
        <w:sz w:val="16"/>
      </w:rPr>
      <w:t>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D4D732"/>
    <w:multiLevelType w:val="singleLevel"/>
    <w:tmpl w:val="BCD4D732"/>
    <w:lvl w:ilvl="0" w:tentative="0">
      <w:start w:val="1"/>
      <w:numFmt w:val="decimal"/>
      <w:suff w:val="nothing"/>
      <w:lvlText w:val="（%1）"/>
      <w:lvlJc w:val="left"/>
    </w:lvl>
  </w:abstractNum>
  <w:abstractNum w:abstractNumId="1">
    <w:nsid w:val="00000005"/>
    <w:multiLevelType w:val="singleLevel"/>
    <w:tmpl w:val="00000005"/>
    <w:lvl w:ilvl="0" w:tentative="0">
      <w:start w:val="1"/>
      <w:numFmt w:val="decimal"/>
      <w:suff w:val="nothing"/>
      <w:lvlText w:val="（%1）"/>
      <w:lvlJc w:val="left"/>
    </w:lvl>
  </w:abstractNum>
  <w:abstractNum w:abstractNumId="2">
    <w:nsid w:val="0A4476F4"/>
    <w:multiLevelType w:val="multilevel"/>
    <w:tmpl w:val="0A4476F4"/>
    <w:lvl w:ilvl="0" w:tentative="0">
      <w:start w:val="1"/>
      <w:numFmt w:val="decimal"/>
      <w:pStyle w:val="8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
    <w:nsid w:val="595D95CC"/>
    <w:multiLevelType w:val="multilevel"/>
    <w:tmpl w:val="595D95CC"/>
    <w:lvl w:ilvl="0" w:tentative="0">
      <w:start w:val="1"/>
      <w:numFmt w:val="decimal"/>
      <w:suff w:val="nothing"/>
      <w:lvlText w:val="（%1）"/>
      <w:lvlJc w:val="center"/>
      <w:pPr>
        <w:tabs>
          <w:tab w:val="left" w:pos="0"/>
        </w:tabs>
        <w:ind w:left="420" w:hanging="132"/>
      </w:pPr>
      <w:rPr>
        <w:rFonts w:hint="default"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01"/>
    <w:rsid w:val="00000F5A"/>
    <w:rsid w:val="00001AFD"/>
    <w:rsid w:val="00001FD0"/>
    <w:rsid w:val="000032A2"/>
    <w:rsid w:val="00012A71"/>
    <w:rsid w:val="00015025"/>
    <w:rsid w:val="00016074"/>
    <w:rsid w:val="00016477"/>
    <w:rsid w:val="000169E8"/>
    <w:rsid w:val="00016AA6"/>
    <w:rsid w:val="00016D00"/>
    <w:rsid w:val="00017814"/>
    <w:rsid w:val="000202A7"/>
    <w:rsid w:val="00020526"/>
    <w:rsid w:val="0002099B"/>
    <w:rsid w:val="00022942"/>
    <w:rsid w:val="00024297"/>
    <w:rsid w:val="0002641B"/>
    <w:rsid w:val="000274B7"/>
    <w:rsid w:val="0002777B"/>
    <w:rsid w:val="000301DB"/>
    <w:rsid w:val="00031B1E"/>
    <w:rsid w:val="00031BF5"/>
    <w:rsid w:val="00031F47"/>
    <w:rsid w:val="0003203B"/>
    <w:rsid w:val="00032F46"/>
    <w:rsid w:val="000346A0"/>
    <w:rsid w:val="00034D7A"/>
    <w:rsid w:val="00034E3E"/>
    <w:rsid w:val="000355BD"/>
    <w:rsid w:val="00036281"/>
    <w:rsid w:val="00037419"/>
    <w:rsid w:val="00040457"/>
    <w:rsid w:val="00040F13"/>
    <w:rsid w:val="000443CE"/>
    <w:rsid w:val="000446F4"/>
    <w:rsid w:val="00044B9B"/>
    <w:rsid w:val="0004501B"/>
    <w:rsid w:val="000463FF"/>
    <w:rsid w:val="00046635"/>
    <w:rsid w:val="00046C17"/>
    <w:rsid w:val="00047B73"/>
    <w:rsid w:val="00047C27"/>
    <w:rsid w:val="00047E60"/>
    <w:rsid w:val="00050522"/>
    <w:rsid w:val="00050580"/>
    <w:rsid w:val="0005097E"/>
    <w:rsid w:val="00050C88"/>
    <w:rsid w:val="00050E94"/>
    <w:rsid w:val="00051BBA"/>
    <w:rsid w:val="00051BE7"/>
    <w:rsid w:val="00053881"/>
    <w:rsid w:val="000554EC"/>
    <w:rsid w:val="00055A56"/>
    <w:rsid w:val="00055CDF"/>
    <w:rsid w:val="00056A2A"/>
    <w:rsid w:val="000605FE"/>
    <w:rsid w:val="00061E20"/>
    <w:rsid w:val="0006297D"/>
    <w:rsid w:val="000636B2"/>
    <w:rsid w:val="00063CA4"/>
    <w:rsid w:val="00065E88"/>
    <w:rsid w:val="00066292"/>
    <w:rsid w:val="00066F7B"/>
    <w:rsid w:val="00067071"/>
    <w:rsid w:val="00067256"/>
    <w:rsid w:val="000673E1"/>
    <w:rsid w:val="000718A5"/>
    <w:rsid w:val="00072960"/>
    <w:rsid w:val="00073F81"/>
    <w:rsid w:val="000747BC"/>
    <w:rsid w:val="0007480A"/>
    <w:rsid w:val="00074D2F"/>
    <w:rsid w:val="00074FE8"/>
    <w:rsid w:val="000753A3"/>
    <w:rsid w:val="00075899"/>
    <w:rsid w:val="00076B0A"/>
    <w:rsid w:val="000776A1"/>
    <w:rsid w:val="0007786D"/>
    <w:rsid w:val="0008044E"/>
    <w:rsid w:val="0008067F"/>
    <w:rsid w:val="000819E8"/>
    <w:rsid w:val="00082255"/>
    <w:rsid w:val="000834A5"/>
    <w:rsid w:val="00083C28"/>
    <w:rsid w:val="00085202"/>
    <w:rsid w:val="00085B8D"/>
    <w:rsid w:val="00085EDC"/>
    <w:rsid w:val="000860E6"/>
    <w:rsid w:val="00086892"/>
    <w:rsid w:val="0008717A"/>
    <w:rsid w:val="00087464"/>
    <w:rsid w:val="00087A81"/>
    <w:rsid w:val="00090206"/>
    <w:rsid w:val="000905C0"/>
    <w:rsid w:val="00090F07"/>
    <w:rsid w:val="0009141C"/>
    <w:rsid w:val="000915B0"/>
    <w:rsid w:val="00092791"/>
    <w:rsid w:val="000931F3"/>
    <w:rsid w:val="0009408C"/>
    <w:rsid w:val="0009542D"/>
    <w:rsid w:val="000960CE"/>
    <w:rsid w:val="00097722"/>
    <w:rsid w:val="000977AE"/>
    <w:rsid w:val="000A14C7"/>
    <w:rsid w:val="000A173E"/>
    <w:rsid w:val="000A1CC2"/>
    <w:rsid w:val="000A1E32"/>
    <w:rsid w:val="000A223B"/>
    <w:rsid w:val="000A3D72"/>
    <w:rsid w:val="000A4C64"/>
    <w:rsid w:val="000A5977"/>
    <w:rsid w:val="000A7A04"/>
    <w:rsid w:val="000B0310"/>
    <w:rsid w:val="000B0C48"/>
    <w:rsid w:val="000B0DFC"/>
    <w:rsid w:val="000B0F7B"/>
    <w:rsid w:val="000B19B9"/>
    <w:rsid w:val="000B1E71"/>
    <w:rsid w:val="000B3AFD"/>
    <w:rsid w:val="000B4EFE"/>
    <w:rsid w:val="000B4F71"/>
    <w:rsid w:val="000B5123"/>
    <w:rsid w:val="000B7116"/>
    <w:rsid w:val="000C00BD"/>
    <w:rsid w:val="000C20F3"/>
    <w:rsid w:val="000C294D"/>
    <w:rsid w:val="000C3E4D"/>
    <w:rsid w:val="000C759A"/>
    <w:rsid w:val="000C7A62"/>
    <w:rsid w:val="000D0C29"/>
    <w:rsid w:val="000D1052"/>
    <w:rsid w:val="000D1521"/>
    <w:rsid w:val="000D22F9"/>
    <w:rsid w:val="000D249F"/>
    <w:rsid w:val="000D2967"/>
    <w:rsid w:val="000D2FBD"/>
    <w:rsid w:val="000D4552"/>
    <w:rsid w:val="000D4708"/>
    <w:rsid w:val="000D5331"/>
    <w:rsid w:val="000D58BE"/>
    <w:rsid w:val="000D5AEC"/>
    <w:rsid w:val="000D6120"/>
    <w:rsid w:val="000D7151"/>
    <w:rsid w:val="000D76D8"/>
    <w:rsid w:val="000D7780"/>
    <w:rsid w:val="000E0575"/>
    <w:rsid w:val="000E0C6A"/>
    <w:rsid w:val="000E1157"/>
    <w:rsid w:val="000E13EA"/>
    <w:rsid w:val="000E2373"/>
    <w:rsid w:val="000E2418"/>
    <w:rsid w:val="000E2988"/>
    <w:rsid w:val="000E2F46"/>
    <w:rsid w:val="000E35B0"/>
    <w:rsid w:val="000E3B4C"/>
    <w:rsid w:val="000E3E68"/>
    <w:rsid w:val="000E3F43"/>
    <w:rsid w:val="000E4497"/>
    <w:rsid w:val="000E4E7C"/>
    <w:rsid w:val="000E5BE8"/>
    <w:rsid w:val="000E6D6B"/>
    <w:rsid w:val="000E7A99"/>
    <w:rsid w:val="000E7DAC"/>
    <w:rsid w:val="000F020C"/>
    <w:rsid w:val="000F0B38"/>
    <w:rsid w:val="000F14C9"/>
    <w:rsid w:val="000F1AF2"/>
    <w:rsid w:val="000F5135"/>
    <w:rsid w:val="000F5DBF"/>
    <w:rsid w:val="000F6183"/>
    <w:rsid w:val="000F72A2"/>
    <w:rsid w:val="000F7F54"/>
    <w:rsid w:val="00100A97"/>
    <w:rsid w:val="00101858"/>
    <w:rsid w:val="00102883"/>
    <w:rsid w:val="00103677"/>
    <w:rsid w:val="0010371C"/>
    <w:rsid w:val="00104D35"/>
    <w:rsid w:val="00105582"/>
    <w:rsid w:val="0010607E"/>
    <w:rsid w:val="00110530"/>
    <w:rsid w:val="00111451"/>
    <w:rsid w:val="0011260C"/>
    <w:rsid w:val="00113E52"/>
    <w:rsid w:val="00113FC0"/>
    <w:rsid w:val="0011558C"/>
    <w:rsid w:val="001160FB"/>
    <w:rsid w:val="001168F7"/>
    <w:rsid w:val="00116BD0"/>
    <w:rsid w:val="00117C9A"/>
    <w:rsid w:val="00120AE0"/>
    <w:rsid w:val="00122FF9"/>
    <w:rsid w:val="001238AE"/>
    <w:rsid w:val="00123F8C"/>
    <w:rsid w:val="001244D8"/>
    <w:rsid w:val="00125E53"/>
    <w:rsid w:val="0012610F"/>
    <w:rsid w:val="00126D43"/>
    <w:rsid w:val="0012799F"/>
    <w:rsid w:val="0013066F"/>
    <w:rsid w:val="0013134A"/>
    <w:rsid w:val="0013206B"/>
    <w:rsid w:val="001332B0"/>
    <w:rsid w:val="00133604"/>
    <w:rsid w:val="00133D71"/>
    <w:rsid w:val="0013516A"/>
    <w:rsid w:val="001374DD"/>
    <w:rsid w:val="001374F5"/>
    <w:rsid w:val="00137554"/>
    <w:rsid w:val="001379F6"/>
    <w:rsid w:val="00137E7B"/>
    <w:rsid w:val="00140364"/>
    <w:rsid w:val="001403A6"/>
    <w:rsid w:val="0014115F"/>
    <w:rsid w:val="00141ED4"/>
    <w:rsid w:val="001423F9"/>
    <w:rsid w:val="00142AD2"/>
    <w:rsid w:val="00143519"/>
    <w:rsid w:val="00143EF0"/>
    <w:rsid w:val="001447D7"/>
    <w:rsid w:val="001457EB"/>
    <w:rsid w:val="00145DB9"/>
    <w:rsid w:val="00146BEA"/>
    <w:rsid w:val="00147B49"/>
    <w:rsid w:val="00147E77"/>
    <w:rsid w:val="0015031D"/>
    <w:rsid w:val="001503AD"/>
    <w:rsid w:val="001530ED"/>
    <w:rsid w:val="00153257"/>
    <w:rsid w:val="001533DD"/>
    <w:rsid w:val="001538AE"/>
    <w:rsid w:val="001545A3"/>
    <w:rsid w:val="00154B9F"/>
    <w:rsid w:val="00154F9F"/>
    <w:rsid w:val="0015582B"/>
    <w:rsid w:val="00156C11"/>
    <w:rsid w:val="00157746"/>
    <w:rsid w:val="00157C50"/>
    <w:rsid w:val="00161781"/>
    <w:rsid w:val="001618BF"/>
    <w:rsid w:val="0016304F"/>
    <w:rsid w:val="00163366"/>
    <w:rsid w:val="00163E33"/>
    <w:rsid w:val="00165D25"/>
    <w:rsid w:val="00165E1B"/>
    <w:rsid w:val="00166142"/>
    <w:rsid w:val="00166173"/>
    <w:rsid w:val="00166FBB"/>
    <w:rsid w:val="00167C27"/>
    <w:rsid w:val="001709B5"/>
    <w:rsid w:val="00170AF9"/>
    <w:rsid w:val="00171376"/>
    <w:rsid w:val="00171DFA"/>
    <w:rsid w:val="00172B99"/>
    <w:rsid w:val="001764B7"/>
    <w:rsid w:val="00176C3B"/>
    <w:rsid w:val="00177850"/>
    <w:rsid w:val="00177DD0"/>
    <w:rsid w:val="00180A34"/>
    <w:rsid w:val="00181B2E"/>
    <w:rsid w:val="001822A9"/>
    <w:rsid w:val="001823FA"/>
    <w:rsid w:val="001828CE"/>
    <w:rsid w:val="00182912"/>
    <w:rsid w:val="00182EFB"/>
    <w:rsid w:val="0018402B"/>
    <w:rsid w:val="001850FC"/>
    <w:rsid w:val="00186C94"/>
    <w:rsid w:val="00187086"/>
    <w:rsid w:val="00190B52"/>
    <w:rsid w:val="0019207F"/>
    <w:rsid w:val="00193EE2"/>
    <w:rsid w:val="001948ED"/>
    <w:rsid w:val="00194D15"/>
    <w:rsid w:val="001962E1"/>
    <w:rsid w:val="00196765"/>
    <w:rsid w:val="001A037C"/>
    <w:rsid w:val="001A0FF7"/>
    <w:rsid w:val="001A15E4"/>
    <w:rsid w:val="001A36F7"/>
    <w:rsid w:val="001A526C"/>
    <w:rsid w:val="001A643F"/>
    <w:rsid w:val="001A7CA6"/>
    <w:rsid w:val="001A7D17"/>
    <w:rsid w:val="001B0386"/>
    <w:rsid w:val="001B0B0E"/>
    <w:rsid w:val="001B0C91"/>
    <w:rsid w:val="001B197B"/>
    <w:rsid w:val="001B2972"/>
    <w:rsid w:val="001B29CF"/>
    <w:rsid w:val="001B4098"/>
    <w:rsid w:val="001B5EED"/>
    <w:rsid w:val="001B629C"/>
    <w:rsid w:val="001B771B"/>
    <w:rsid w:val="001B77FD"/>
    <w:rsid w:val="001B792B"/>
    <w:rsid w:val="001C0C3E"/>
    <w:rsid w:val="001C15E6"/>
    <w:rsid w:val="001C2626"/>
    <w:rsid w:val="001C2B50"/>
    <w:rsid w:val="001C2CC6"/>
    <w:rsid w:val="001C310A"/>
    <w:rsid w:val="001C3EBB"/>
    <w:rsid w:val="001C47B3"/>
    <w:rsid w:val="001C4D67"/>
    <w:rsid w:val="001C5279"/>
    <w:rsid w:val="001C57B6"/>
    <w:rsid w:val="001C755F"/>
    <w:rsid w:val="001C7A03"/>
    <w:rsid w:val="001D001A"/>
    <w:rsid w:val="001D06C1"/>
    <w:rsid w:val="001D0BDB"/>
    <w:rsid w:val="001D0E85"/>
    <w:rsid w:val="001D11C3"/>
    <w:rsid w:val="001D195B"/>
    <w:rsid w:val="001D232B"/>
    <w:rsid w:val="001D2F60"/>
    <w:rsid w:val="001D4448"/>
    <w:rsid w:val="001D4DCF"/>
    <w:rsid w:val="001D5139"/>
    <w:rsid w:val="001D521D"/>
    <w:rsid w:val="001D6974"/>
    <w:rsid w:val="001D7028"/>
    <w:rsid w:val="001E038F"/>
    <w:rsid w:val="001E044E"/>
    <w:rsid w:val="001E04AA"/>
    <w:rsid w:val="001E178C"/>
    <w:rsid w:val="001E1C28"/>
    <w:rsid w:val="001E378B"/>
    <w:rsid w:val="001E39EB"/>
    <w:rsid w:val="001E3DE0"/>
    <w:rsid w:val="001E3FC6"/>
    <w:rsid w:val="001E417F"/>
    <w:rsid w:val="001E59ED"/>
    <w:rsid w:val="001E5FF5"/>
    <w:rsid w:val="001E6D35"/>
    <w:rsid w:val="001E6F6D"/>
    <w:rsid w:val="001E73FC"/>
    <w:rsid w:val="001F0586"/>
    <w:rsid w:val="001F0C22"/>
    <w:rsid w:val="001F0C72"/>
    <w:rsid w:val="001F0E00"/>
    <w:rsid w:val="001F2E7A"/>
    <w:rsid w:val="001F4416"/>
    <w:rsid w:val="001F5224"/>
    <w:rsid w:val="001F6709"/>
    <w:rsid w:val="001F778A"/>
    <w:rsid w:val="001F7A0E"/>
    <w:rsid w:val="00200057"/>
    <w:rsid w:val="002001AD"/>
    <w:rsid w:val="0020135E"/>
    <w:rsid w:val="00201469"/>
    <w:rsid w:val="00202BD2"/>
    <w:rsid w:val="00204221"/>
    <w:rsid w:val="002049B7"/>
    <w:rsid w:val="00204A69"/>
    <w:rsid w:val="0020521A"/>
    <w:rsid w:val="002057B6"/>
    <w:rsid w:val="002058B3"/>
    <w:rsid w:val="00205BC0"/>
    <w:rsid w:val="00205E43"/>
    <w:rsid w:val="00206135"/>
    <w:rsid w:val="00206DA8"/>
    <w:rsid w:val="00206F58"/>
    <w:rsid w:val="002073A2"/>
    <w:rsid w:val="002074E1"/>
    <w:rsid w:val="002101BF"/>
    <w:rsid w:val="002103D3"/>
    <w:rsid w:val="00211126"/>
    <w:rsid w:val="002111BE"/>
    <w:rsid w:val="0021163E"/>
    <w:rsid w:val="0021292A"/>
    <w:rsid w:val="00212F33"/>
    <w:rsid w:val="00214F9A"/>
    <w:rsid w:val="00215EA3"/>
    <w:rsid w:val="00216253"/>
    <w:rsid w:val="0021748A"/>
    <w:rsid w:val="00220653"/>
    <w:rsid w:val="00221F07"/>
    <w:rsid w:val="0022217F"/>
    <w:rsid w:val="002227DB"/>
    <w:rsid w:val="00222FBF"/>
    <w:rsid w:val="002245C5"/>
    <w:rsid w:val="00224807"/>
    <w:rsid w:val="00224CED"/>
    <w:rsid w:val="00225681"/>
    <w:rsid w:val="00226B5D"/>
    <w:rsid w:val="00227269"/>
    <w:rsid w:val="0022771D"/>
    <w:rsid w:val="00227B3D"/>
    <w:rsid w:val="00227C2C"/>
    <w:rsid w:val="002303B8"/>
    <w:rsid w:val="00233AB5"/>
    <w:rsid w:val="0023482A"/>
    <w:rsid w:val="00236C09"/>
    <w:rsid w:val="002377EF"/>
    <w:rsid w:val="00241594"/>
    <w:rsid w:val="0024168B"/>
    <w:rsid w:val="0024242B"/>
    <w:rsid w:val="00242730"/>
    <w:rsid w:val="00242B90"/>
    <w:rsid w:val="00243576"/>
    <w:rsid w:val="00243FD7"/>
    <w:rsid w:val="00245A36"/>
    <w:rsid w:val="00247969"/>
    <w:rsid w:val="00247BA2"/>
    <w:rsid w:val="0025045F"/>
    <w:rsid w:val="00250A2D"/>
    <w:rsid w:val="00252985"/>
    <w:rsid w:val="00254BF9"/>
    <w:rsid w:val="00254FE2"/>
    <w:rsid w:val="00256178"/>
    <w:rsid w:val="00256508"/>
    <w:rsid w:val="00256FF9"/>
    <w:rsid w:val="00257B8A"/>
    <w:rsid w:val="00257BC4"/>
    <w:rsid w:val="00257C37"/>
    <w:rsid w:val="00262B30"/>
    <w:rsid w:val="00263B30"/>
    <w:rsid w:val="00265CA8"/>
    <w:rsid w:val="00265E42"/>
    <w:rsid w:val="00267621"/>
    <w:rsid w:val="002677F9"/>
    <w:rsid w:val="0026790C"/>
    <w:rsid w:val="00267E15"/>
    <w:rsid w:val="002705DA"/>
    <w:rsid w:val="00270DA6"/>
    <w:rsid w:val="0027149F"/>
    <w:rsid w:val="002737BD"/>
    <w:rsid w:val="00274105"/>
    <w:rsid w:val="00274BBF"/>
    <w:rsid w:val="002754FF"/>
    <w:rsid w:val="0027648D"/>
    <w:rsid w:val="0027698B"/>
    <w:rsid w:val="00276C90"/>
    <w:rsid w:val="00276DEC"/>
    <w:rsid w:val="0027766C"/>
    <w:rsid w:val="002802AF"/>
    <w:rsid w:val="00281038"/>
    <w:rsid w:val="00282CBE"/>
    <w:rsid w:val="00283BD0"/>
    <w:rsid w:val="002844AB"/>
    <w:rsid w:val="00284FAE"/>
    <w:rsid w:val="00285BD6"/>
    <w:rsid w:val="002868BF"/>
    <w:rsid w:val="002872B9"/>
    <w:rsid w:val="00290145"/>
    <w:rsid w:val="00290B06"/>
    <w:rsid w:val="00290FE5"/>
    <w:rsid w:val="00292DD8"/>
    <w:rsid w:val="00293D99"/>
    <w:rsid w:val="00293DFB"/>
    <w:rsid w:val="00293E92"/>
    <w:rsid w:val="00294A37"/>
    <w:rsid w:val="002950C9"/>
    <w:rsid w:val="002952D4"/>
    <w:rsid w:val="00296D24"/>
    <w:rsid w:val="002973B8"/>
    <w:rsid w:val="002A0A95"/>
    <w:rsid w:val="002A0F5A"/>
    <w:rsid w:val="002A249E"/>
    <w:rsid w:val="002A3698"/>
    <w:rsid w:val="002A3B61"/>
    <w:rsid w:val="002A488A"/>
    <w:rsid w:val="002A609D"/>
    <w:rsid w:val="002A688D"/>
    <w:rsid w:val="002A69D0"/>
    <w:rsid w:val="002A7B45"/>
    <w:rsid w:val="002B03A1"/>
    <w:rsid w:val="002B087B"/>
    <w:rsid w:val="002B08E6"/>
    <w:rsid w:val="002B0902"/>
    <w:rsid w:val="002B116D"/>
    <w:rsid w:val="002B1468"/>
    <w:rsid w:val="002B1ADF"/>
    <w:rsid w:val="002B2858"/>
    <w:rsid w:val="002B3F10"/>
    <w:rsid w:val="002B42C3"/>
    <w:rsid w:val="002B5001"/>
    <w:rsid w:val="002B5269"/>
    <w:rsid w:val="002B554C"/>
    <w:rsid w:val="002B590A"/>
    <w:rsid w:val="002B5F5A"/>
    <w:rsid w:val="002B68A5"/>
    <w:rsid w:val="002B6D1E"/>
    <w:rsid w:val="002B7D45"/>
    <w:rsid w:val="002C0490"/>
    <w:rsid w:val="002C0A6C"/>
    <w:rsid w:val="002C0D93"/>
    <w:rsid w:val="002C143F"/>
    <w:rsid w:val="002C20B3"/>
    <w:rsid w:val="002C2148"/>
    <w:rsid w:val="002C22FC"/>
    <w:rsid w:val="002C2A21"/>
    <w:rsid w:val="002C2D6C"/>
    <w:rsid w:val="002C32C0"/>
    <w:rsid w:val="002C3571"/>
    <w:rsid w:val="002C3BC7"/>
    <w:rsid w:val="002C4406"/>
    <w:rsid w:val="002C4A77"/>
    <w:rsid w:val="002C56FC"/>
    <w:rsid w:val="002C6E6B"/>
    <w:rsid w:val="002C706C"/>
    <w:rsid w:val="002C76C4"/>
    <w:rsid w:val="002C76FD"/>
    <w:rsid w:val="002D1CE6"/>
    <w:rsid w:val="002D2136"/>
    <w:rsid w:val="002D23E3"/>
    <w:rsid w:val="002D25A4"/>
    <w:rsid w:val="002D2B75"/>
    <w:rsid w:val="002D3D8C"/>
    <w:rsid w:val="002D4F8F"/>
    <w:rsid w:val="002D54A6"/>
    <w:rsid w:val="002D66C0"/>
    <w:rsid w:val="002E01F7"/>
    <w:rsid w:val="002E0642"/>
    <w:rsid w:val="002E199C"/>
    <w:rsid w:val="002E1F23"/>
    <w:rsid w:val="002E3AD9"/>
    <w:rsid w:val="002E3CAC"/>
    <w:rsid w:val="002E3FB5"/>
    <w:rsid w:val="002E475A"/>
    <w:rsid w:val="002E4B55"/>
    <w:rsid w:val="002E6EDD"/>
    <w:rsid w:val="002F2D40"/>
    <w:rsid w:val="002F427D"/>
    <w:rsid w:val="002F4D82"/>
    <w:rsid w:val="002F5367"/>
    <w:rsid w:val="002F546A"/>
    <w:rsid w:val="002F7443"/>
    <w:rsid w:val="002F7F7B"/>
    <w:rsid w:val="00300E29"/>
    <w:rsid w:val="003016F9"/>
    <w:rsid w:val="00302B14"/>
    <w:rsid w:val="003054F3"/>
    <w:rsid w:val="00306B1B"/>
    <w:rsid w:val="00306FF9"/>
    <w:rsid w:val="00307010"/>
    <w:rsid w:val="0030704E"/>
    <w:rsid w:val="00310C2D"/>
    <w:rsid w:val="00310E6C"/>
    <w:rsid w:val="00311018"/>
    <w:rsid w:val="00312BCF"/>
    <w:rsid w:val="003132D0"/>
    <w:rsid w:val="00313399"/>
    <w:rsid w:val="00313DE8"/>
    <w:rsid w:val="00314571"/>
    <w:rsid w:val="003148E5"/>
    <w:rsid w:val="003153D9"/>
    <w:rsid w:val="0031568A"/>
    <w:rsid w:val="00316AA9"/>
    <w:rsid w:val="00317A5C"/>
    <w:rsid w:val="0032007E"/>
    <w:rsid w:val="003206E9"/>
    <w:rsid w:val="003218F7"/>
    <w:rsid w:val="00321BF2"/>
    <w:rsid w:val="0032220F"/>
    <w:rsid w:val="0032337B"/>
    <w:rsid w:val="00323726"/>
    <w:rsid w:val="0032506D"/>
    <w:rsid w:val="00326216"/>
    <w:rsid w:val="00326D97"/>
    <w:rsid w:val="003271DF"/>
    <w:rsid w:val="00330046"/>
    <w:rsid w:val="0033214D"/>
    <w:rsid w:val="003325CF"/>
    <w:rsid w:val="00334195"/>
    <w:rsid w:val="003344A4"/>
    <w:rsid w:val="003353C8"/>
    <w:rsid w:val="0033595F"/>
    <w:rsid w:val="0033600C"/>
    <w:rsid w:val="003377D9"/>
    <w:rsid w:val="00340601"/>
    <w:rsid w:val="00341E9F"/>
    <w:rsid w:val="0034300E"/>
    <w:rsid w:val="00343664"/>
    <w:rsid w:val="0034372D"/>
    <w:rsid w:val="0034535D"/>
    <w:rsid w:val="00345562"/>
    <w:rsid w:val="0034757E"/>
    <w:rsid w:val="00347F2D"/>
    <w:rsid w:val="00347F77"/>
    <w:rsid w:val="003510D5"/>
    <w:rsid w:val="00352ADF"/>
    <w:rsid w:val="003530EB"/>
    <w:rsid w:val="0035314F"/>
    <w:rsid w:val="00354AFB"/>
    <w:rsid w:val="0035709A"/>
    <w:rsid w:val="00360174"/>
    <w:rsid w:val="00361D39"/>
    <w:rsid w:val="00361D53"/>
    <w:rsid w:val="00362A81"/>
    <w:rsid w:val="00363B96"/>
    <w:rsid w:val="0036419D"/>
    <w:rsid w:val="003647BC"/>
    <w:rsid w:val="003647FB"/>
    <w:rsid w:val="003659A9"/>
    <w:rsid w:val="00366D6F"/>
    <w:rsid w:val="00366F94"/>
    <w:rsid w:val="00367A79"/>
    <w:rsid w:val="003709E4"/>
    <w:rsid w:val="00370A5C"/>
    <w:rsid w:val="00372133"/>
    <w:rsid w:val="0037299C"/>
    <w:rsid w:val="00372C6D"/>
    <w:rsid w:val="0037344F"/>
    <w:rsid w:val="0037509E"/>
    <w:rsid w:val="00375EE4"/>
    <w:rsid w:val="00376482"/>
    <w:rsid w:val="00377F29"/>
    <w:rsid w:val="00381020"/>
    <w:rsid w:val="003850D8"/>
    <w:rsid w:val="0038585B"/>
    <w:rsid w:val="00386BCA"/>
    <w:rsid w:val="00386F9F"/>
    <w:rsid w:val="00386FC4"/>
    <w:rsid w:val="003871E2"/>
    <w:rsid w:val="003877BA"/>
    <w:rsid w:val="003879F5"/>
    <w:rsid w:val="00390C8F"/>
    <w:rsid w:val="00391A3B"/>
    <w:rsid w:val="00391A5C"/>
    <w:rsid w:val="00391F62"/>
    <w:rsid w:val="00392FD6"/>
    <w:rsid w:val="00393708"/>
    <w:rsid w:val="00393D81"/>
    <w:rsid w:val="00394CF3"/>
    <w:rsid w:val="00395511"/>
    <w:rsid w:val="00396984"/>
    <w:rsid w:val="00396FFB"/>
    <w:rsid w:val="003A071C"/>
    <w:rsid w:val="003A1287"/>
    <w:rsid w:val="003A152B"/>
    <w:rsid w:val="003A1F6C"/>
    <w:rsid w:val="003A304E"/>
    <w:rsid w:val="003A380B"/>
    <w:rsid w:val="003A3DD1"/>
    <w:rsid w:val="003A47D2"/>
    <w:rsid w:val="003A594D"/>
    <w:rsid w:val="003A71E6"/>
    <w:rsid w:val="003A737C"/>
    <w:rsid w:val="003B2171"/>
    <w:rsid w:val="003B249F"/>
    <w:rsid w:val="003B283A"/>
    <w:rsid w:val="003B3DBB"/>
    <w:rsid w:val="003B43ED"/>
    <w:rsid w:val="003B45FE"/>
    <w:rsid w:val="003B49C8"/>
    <w:rsid w:val="003B511A"/>
    <w:rsid w:val="003B656A"/>
    <w:rsid w:val="003B67A7"/>
    <w:rsid w:val="003B6D43"/>
    <w:rsid w:val="003B7CA2"/>
    <w:rsid w:val="003C0E41"/>
    <w:rsid w:val="003C112A"/>
    <w:rsid w:val="003C195A"/>
    <w:rsid w:val="003C209E"/>
    <w:rsid w:val="003C2627"/>
    <w:rsid w:val="003C2EAC"/>
    <w:rsid w:val="003C42B0"/>
    <w:rsid w:val="003C4AFC"/>
    <w:rsid w:val="003C5170"/>
    <w:rsid w:val="003C582E"/>
    <w:rsid w:val="003C5E53"/>
    <w:rsid w:val="003C61CA"/>
    <w:rsid w:val="003C6A81"/>
    <w:rsid w:val="003C7756"/>
    <w:rsid w:val="003D0566"/>
    <w:rsid w:val="003D11BE"/>
    <w:rsid w:val="003D18B7"/>
    <w:rsid w:val="003D1931"/>
    <w:rsid w:val="003D20AD"/>
    <w:rsid w:val="003D2AE5"/>
    <w:rsid w:val="003D31FC"/>
    <w:rsid w:val="003D3F9D"/>
    <w:rsid w:val="003D4839"/>
    <w:rsid w:val="003D55E7"/>
    <w:rsid w:val="003D7015"/>
    <w:rsid w:val="003E1835"/>
    <w:rsid w:val="003E18C4"/>
    <w:rsid w:val="003E1C98"/>
    <w:rsid w:val="003E2972"/>
    <w:rsid w:val="003E310E"/>
    <w:rsid w:val="003E3DE6"/>
    <w:rsid w:val="003E3ECB"/>
    <w:rsid w:val="003E400F"/>
    <w:rsid w:val="003E4D31"/>
    <w:rsid w:val="003E57B0"/>
    <w:rsid w:val="003E73BA"/>
    <w:rsid w:val="003E7E4F"/>
    <w:rsid w:val="003F0663"/>
    <w:rsid w:val="003F1036"/>
    <w:rsid w:val="003F1262"/>
    <w:rsid w:val="003F33AA"/>
    <w:rsid w:val="003F3726"/>
    <w:rsid w:val="003F3A7A"/>
    <w:rsid w:val="003F3F08"/>
    <w:rsid w:val="003F4786"/>
    <w:rsid w:val="003F5F83"/>
    <w:rsid w:val="003F6C5C"/>
    <w:rsid w:val="003F7222"/>
    <w:rsid w:val="00400120"/>
    <w:rsid w:val="0040029F"/>
    <w:rsid w:val="00400A78"/>
    <w:rsid w:val="00400B71"/>
    <w:rsid w:val="004018A5"/>
    <w:rsid w:val="00401CFD"/>
    <w:rsid w:val="0040223F"/>
    <w:rsid w:val="00404814"/>
    <w:rsid w:val="00404F7A"/>
    <w:rsid w:val="00405F76"/>
    <w:rsid w:val="0040712A"/>
    <w:rsid w:val="00407B4C"/>
    <w:rsid w:val="00410BD0"/>
    <w:rsid w:val="00410CA9"/>
    <w:rsid w:val="0041315A"/>
    <w:rsid w:val="004131F9"/>
    <w:rsid w:val="004133B2"/>
    <w:rsid w:val="00413D4F"/>
    <w:rsid w:val="0041582D"/>
    <w:rsid w:val="004175C0"/>
    <w:rsid w:val="00417621"/>
    <w:rsid w:val="004226B4"/>
    <w:rsid w:val="00422F14"/>
    <w:rsid w:val="00422FA4"/>
    <w:rsid w:val="00423428"/>
    <w:rsid w:val="00423562"/>
    <w:rsid w:val="00423644"/>
    <w:rsid w:val="004239F6"/>
    <w:rsid w:val="00423D83"/>
    <w:rsid w:val="0042547A"/>
    <w:rsid w:val="00425765"/>
    <w:rsid w:val="004259AE"/>
    <w:rsid w:val="004260C8"/>
    <w:rsid w:val="00426D55"/>
    <w:rsid w:val="00427320"/>
    <w:rsid w:val="004274C7"/>
    <w:rsid w:val="00427602"/>
    <w:rsid w:val="00427AE1"/>
    <w:rsid w:val="00427E02"/>
    <w:rsid w:val="00430076"/>
    <w:rsid w:val="00430427"/>
    <w:rsid w:val="00430B2B"/>
    <w:rsid w:val="004313B1"/>
    <w:rsid w:val="00432C38"/>
    <w:rsid w:val="0043381B"/>
    <w:rsid w:val="00433A72"/>
    <w:rsid w:val="004364FD"/>
    <w:rsid w:val="00436ECA"/>
    <w:rsid w:val="00437483"/>
    <w:rsid w:val="00437845"/>
    <w:rsid w:val="00437F63"/>
    <w:rsid w:val="004404B0"/>
    <w:rsid w:val="00440F6D"/>
    <w:rsid w:val="004419C8"/>
    <w:rsid w:val="00441B5C"/>
    <w:rsid w:val="0044386B"/>
    <w:rsid w:val="004448AC"/>
    <w:rsid w:val="00446748"/>
    <w:rsid w:val="0044765F"/>
    <w:rsid w:val="0045255E"/>
    <w:rsid w:val="00452865"/>
    <w:rsid w:val="0045329A"/>
    <w:rsid w:val="0045451F"/>
    <w:rsid w:val="0045514D"/>
    <w:rsid w:val="00455B29"/>
    <w:rsid w:val="00455DB4"/>
    <w:rsid w:val="004569F1"/>
    <w:rsid w:val="004572D0"/>
    <w:rsid w:val="004573BC"/>
    <w:rsid w:val="00457E7D"/>
    <w:rsid w:val="00461B50"/>
    <w:rsid w:val="00462339"/>
    <w:rsid w:val="004623AF"/>
    <w:rsid w:val="00462C26"/>
    <w:rsid w:val="00462D4F"/>
    <w:rsid w:val="004630BE"/>
    <w:rsid w:val="00463D11"/>
    <w:rsid w:val="004640C3"/>
    <w:rsid w:val="00464279"/>
    <w:rsid w:val="004649DF"/>
    <w:rsid w:val="004654B6"/>
    <w:rsid w:val="00465B69"/>
    <w:rsid w:val="00465F8E"/>
    <w:rsid w:val="0046682C"/>
    <w:rsid w:val="00466ED0"/>
    <w:rsid w:val="004678AB"/>
    <w:rsid w:val="0047039E"/>
    <w:rsid w:val="0047058C"/>
    <w:rsid w:val="004707E4"/>
    <w:rsid w:val="004708F4"/>
    <w:rsid w:val="004718C3"/>
    <w:rsid w:val="0047208B"/>
    <w:rsid w:val="0047253E"/>
    <w:rsid w:val="00473251"/>
    <w:rsid w:val="00473FA1"/>
    <w:rsid w:val="0047493D"/>
    <w:rsid w:val="00475186"/>
    <w:rsid w:val="004757C2"/>
    <w:rsid w:val="00475CC6"/>
    <w:rsid w:val="0047626F"/>
    <w:rsid w:val="004775FA"/>
    <w:rsid w:val="00480D99"/>
    <w:rsid w:val="00481DFF"/>
    <w:rsid w:val="00482AFC"/>
    <w:rsid w:val="004836E9"/>
    <w:rsid w:val="00484237"/>
    <w:rsid w:val="004844AB"/>
    <w:rsid w:val="004847B0"/>
    <w:rsid w:val="00484971"/>
    <w:rsid w:val="00484EA9"/>
    <w:rsid w:val="004857A5"/>
    <w:rsid w:val="004860A7"/>
    <w:rsid w:val="00486D2F"/>
    <w:rsid w:val="00486DC4"/>
    <w:rsid w:val="00486DCD"/>
    <w:rsid w:val="00486FBB"/>
    <w:rsid w:val="0048756D"/>
    <w:rsid w:val="004878A8"/>
    <w:rsid w:val="004879BD"/>
    <w:rsid w:val="00487A6E"/>
    <w:rsid w:val="00490002"/>
    <w:rsid w:val="00491819"/>
    <w:rsid w:val="004928D8"/>
    <w:rsid w:val="004940C2"/>
    <w:rsid w:val="004A1079"/>
    <w:rsid w:val="004A17A0"/>
    <w:rsid w:val="004A1C7C"/>
    <w:rsid w:val="004A228D"/>
    <w:rsid w:val="004A56B7"/>
    <w:rsid w:val="004A6864"/>
    <w:rsid w:val="004A6C9F"/>
    <w:rsid w:val="004A7807"/>
    <w:rsid w:val="004B1564"/>
    <w:rsid w:val="004B161C"/>
    <w:rsid w:val="004B2F15"/>
    <w:rsid w:val="004B3DDA"/>
    <w:rsid w:val="004B6082"/>
    <w:rsid w:val="004B63B7"/>
    <w:rsid w:val="004B7CF3"/>
    <w:rsid w:val="004C0613"/>
    <w:rsid w:val="004C0BED"/>
    <w:rsid w:val="004C2BAC"/>
    <w:rsid w:val="004C5136"/>
    <w:rsid w:val="004C515F"/>
    <w:rsid w:val="004C58A9"/>
    <w:rsid w:val="004C62ED"/>
    <w:rsid w:val="004C6C70"/>
    <w:rsid w:val="004C7CEF"/>
    <w:rsid w:val="004D04A0"/>
    <w:rsid w:val="004D0F49"/>
    <w:rsid w:val="004D1826"/>
    <w:rsid w:val="004D234B"/>
    <w:rsid w:val="004D23E0"/>
    <w:rsid w:val="004D26D5"/>
    <w:rsid w:val="004D2CA5"/>
    <w:rsid w:val="004D599C"/>
    <w:rsid w:val="004D5CBC"/>
    <w:rsid w:val="004D798B"/>
    <w:rsid w:val="004D7C4B"/>
    <w:rsid w:val="004E0E54"/>
    <w:rsid w:val="004E1298"/>
    <w:rsid w:val="004E16D9"/>
    <w:rsid w:val="004E1A9B"/>
    <w:rsid w:val="004E1C2B"/>
    <w:rsid w:val="004E3190"/>
    <w:rsid w:val="004E3583"/>
    <w:rsid w:val="004E374F"/>
    <w:rsid w:val="004E43A5"/>
    <w:rsid w:val="004E4621"/>
    <w:rsid w:val="004E472D"/>
    <w:rsid w:val="004E4838"/>
    <w:rsid w:val="004E4A73"/>
    <w:rsid w:val="004E5E3F"/>
    <w:rsid w:val="004E6458"/>
    <w:rsid w:val="004E6999"/>
    <w:rsid w:val="004E6A47"/>
    <w:rsid w:val="004E7012"/>
    <w:rsid w:val="004E7348"/>
    <w:rsid w:val="004E7A8E"/>
    <w:rsid w:val="004F2357"/>
    <w:rsid w:val="004F2751"/>
    <w:rsid w:val="004F2CCB"/>
    <w:rsid w:val="004F6540"/>
    <w:rsid w:val="004F6BEC"/>
    <w:rsid w:val="004F7879"/>
    <w:rsid w:val="004F797C"/>
    <w:rsid w:val="004F7A0E"/>
    <w:rsid w:val="004F7C24"/>
    <w:rsid w:val="00500A66"/>
    <w:rsid w:val="005010D3"/>
    <w:rsid w:val="00501225"/>
    <w:rsid w:val="0050183A"/>
    <w:rsid w:val="00501F9F"/>
    <w:rsid w:val="005022AD"/>
    <w:rsid w:val="00502806"/>
    <w:rsid w:val="00502DF2"/>
    <w:rsid w:val="00503C37"/>
    <w:rsid w:val="00505AEA"/>
    <w:rsid w:val="0050727A"/>
    <w:rsid w:val="00507642"/>
    <w:rsid w:val="00510157"/>
    <w:rsid w:val="00510A95"/>
    <w:rsid w:val="00511583"/>
    <w:rsid w:val="00511F68"/>
    <w:rsid w:val="00512503"/>
    <w:rsid w:val="00512716"/>
    <w:rsid w:val="00512BC3"/>
    <w:rsid w:val="0051331D"/>
    <w:rsid w:val="00513A22"/>
    <w:rsid w:val="00513CB3"/>
    <w:rsid w:val="0051431A"/>
    <w:rsid w:val="00514402"/>
    <w:rsid w:val="005147AC"/>
    <w:rsid w:val="00515468"/>
    <w:rsid w:val="005158F9"/>
    <w:rsid w:val="00517DF2"/>
    <w:rsid w:val="00520C02"/>
    <w:rsid w:val="0052143E"/>
    <w:rsid w:val="0052354D"/>
    <w:rsid w:val="005236E8"/>
    <w:rsid w:val="005237FC"/>
    <w:rsid w:val="00523D3B"/>
    <w:rsid w:val="00524082"/>
    <w:rsid w:val="00524DF3"/>
    <w:rsid w:val="0052543D"/>
    <w:rsid w:val="00526AF9"/>
    <w:rsid w:val="00531ADD"/>
    <w:rsid w:val="0053523C"/>
    <w:rsid w:val="0053538C"/>
    <w:rsid w:val="00535585"/>
    <w:rsid w:val="00535962"/>
    <w:rsid w:val="005362F4"/>
    <w:rsid w:val="0053756D"/>
    <w:rsid w:val="00540934"/>
    <w:rsid w:val="00540C3B"/>
    <w:rsid w:val="00542B5C"/>
    <w:rsid w:val="00542EB3"/>
    <w:rsid w:val="0054475B"/>
    <w:rsid w:val="00544D8B"/>
    <w:rsid w:val="0054504D"/>
    <w:rsid w:val="00545821"/>
    <w:rsid w:val="00545CDE"/>
    <w:rsid w:val="00545EA5"/>
    <w:rsid w:val="005513F1"/>
    <w:rsid w:val="005545FC"/>
    <w:rsid w:val="00557041"/>
    <w:rsid w:val="005574EA"/>
    <w:rsid w:val="00557D12"/>
    <w:rsid w:val="00560D11"/>
    <w:rsid w:val="00561087"/>
    <w:rsid w:val="0056140C"/>
    <w:rsid w:val="00562ACE"/>
    <w:rsid w:val="0056498A"/>
    <w:rsid w:val="00564BCD"/>
    <w:rsid w:val="0056516E"/>
    <w:rsid w:val="0056555A"/>
    <w:rsid w:val="00566377"/>
    <w:rsid w:val="005667D3"/>
    <w:rsid w:val="005675A7"/>
    <w:rsid w:val="0057069E"/>
    <w:rsid w:val="00571C9D"/>
    <w:rsid w:val="00571F83"/>
    <w:rsid w:val="00572373"/>
    <w:rsid w:val="00572975"/>
    <w:rsid w:val="00574B91"/>
    <w:rsid w:val="005758D8"/>
    <w:rsid w:val="00575C7C"/>
    <w:rsid w:val="00576B6A"/>
    <w:rsid w:val="00580385"/>
    <w:rsid w:val="00580E65"/>
    <w:rsid w:val="00583362"/>
    <w:rsid w:val="00583AA6"/>
    <w:rsid w:val="005850E1"/>
    <w:rsid w:val="00586384"/>
    <w:rsid w:val="00586972"/>
    <w:rsid w:val="005875B2"/>
    <w:rsid w:val="005903A0"/>
    <w:rsid w:val="00590C4D"/>
    <w:rsid w:val="00591A09"/>
    <w:rsid w:val="00592674"/>
    <w:rsid w:val="005964BD"/>
    <w:rsid w:val="00597A9A"/>
    <w:rsid w:val="00597EF7"/>
    <w:rsid w:val="005A1A67"/>
    <w:rsid w:val="005A2274"/>
    <w:rsid w:val="005A3B23"/>
    <w:rsid w:val="005A5954"/>
    <w:rsid w:val="005A5ABB"/>
    <w:rsid w:val="005A67EE"/>
    <w:rsid w:val="005B03C2"/>
    <w:rsid w:val="005B0F2E"/>
    <w:rsid w:val="005B19FA"/>
    <w:rsid w:val="005B439C"/>
    <w:rsid w:val="005B4508"/>
    <w:rsid w:val="005B4CE7"/>
    <w:rsid w:val="005B502D"/>
    <w:rsid w:val="005B55CF"/>
    <w:rsid w:val="005B6E8D"/>
    <w:rsid w:val="005B788E"/>
    <w:rsid w:val="005B7DEA"/>
    <w:rsid w:val="005C12A5"/>
    <w:rsid w:val="005C1930"/>
    <w:rsid w:val="005C1DB5"/>
    <w:rsid w:val="005C2276"/>
    <w:rsid w:val="005C30FF"/>
    <w:rsid w:val="005C360F"/>
    <w:rsid w:val="005C4009"/>
    <w:rsid w:val="005C6B55"/>
    <w:rsid w:val="005C6B5E"/>
    <w:rsid w:val="005C721A"/>
    <w:rsid w:val="005C78CC"/>
    <w:rsid w:val="005C7973"/>
    <w:rsid w:val="005C7D2E"/>
    <w:rsid w:val="005D0515"/>
    <w:rsid w:val="005D0D93"/>
    <w:rsid w:val="005D1C33"/>
    <w:rsid w:val="005D2161"/>
    <w:rsid w:val="005D25A1"/>
    <w:rsid w:val="005D2C1F"/>
    <w:rsid w:val="005D3E1E"/>
    <w:rsid w:val="005D4C6A"/>
    <w:rsid w:val="005D5A5A"/>
    <w:rsid w:val="005D5ACB"/>
    <w:rsid w:val="005D5DA5"/>
    <w:rsid w:val="005D617D"/>
    <w:rsid w:val="005D726F"/>
    <w:rsid w:val="005D7F0B"/>
    <w:rsid w:val="005D7FAA"/>
    <w:rsid w:val="005E0637"/>
    <w:rsid w:val="005E0814"/>
    <w:rsid w:val="005E0BC2"/>
    <w:rsid w:val="005E0F25"/>
    <w:rsid w:val="005E23BC"/>
    <w:rsid w:val="005E556C"/>
    <w:rsid w:val="005E5632"/>
    <w:rsid w:val="005E5C53"/>
    <w:rsid w:val="005E6143"/>
    <w:rsid w:val="005F038A"/>
    <w:rsid w:val="005F0624"/>
    <w:rsid w:val="005F0F26"/>
    <w:rsid w:val="005F15F6"/>
    <w:rsid w:val="005F16BF"/>
    <w:rsid w:val="005F24B8"/>
    <w:rsid w:val="005F2F29"/>
    <w:rsid w:val="005F3F0C"/>
    <w:rsid w:val="005F456F"/>
    <w:rsid w:val="005F5D04"/>
    <w:rsid w:val="005F6344"/>
    <w:rsid w:val="005F68A8"/>
    <w:rsid w:val="005F7298"/>
    <w:rsid w:val="005F7A9C"/>
    <w:rsid w:val="00601246"/>
    <w:rsid w:val="00601F1F"/>
    <w:rsid w:val="00602486"/>
    <w:rsid w:val="006024C0"/>
    <w:rsid w:val="006024FC"/>
    <w:rsid w:val="0060365B"/>
    <w:rsid w:val="00604232"/>
    <w:rsid w:val="006044A6"/>
    <w:rsid w:val="00605768"/>
    <w:rsid w:val="006068D5"/>
    <w:rsid w:val="00606A7F"/>
    <w:rsid w:val="006078CA"/>
    <w:rsid w:val="00610415"/>
    <w:rsid w:val="00610BAE"/>
    <w:rsid w:val="00610FDE"/>
    <w:rsid w:val="00611A84"/>
    <w:rsid w:val="00612258"/>
    <w:rsid w:val="00612848"/>
    <w:rsid w:val="0061351A"/>
    <w:rsid w:val="006136BC"/>
    <w:rsid w:val="006157B2"/>
    <w:rsid w:val="00615FDE"/>
    <w:rsid w:val="00617590"/>
    <w:rsid w:val="00617723"/>
    <w:rsid w:val="00617738"/>
    <w:rsid w:val="006202C2"/>
    <w:rsid w:val="00621AE6"/>
    <w:rsid w:val="00622589"/>
    <w:rsid w:val="0062261A"/>
    <w:rsid w:val="00622F41"/>
    <w:rsid w:val="006230A5"/>
    <w:rsid w:val="0062366B"/>
    <w:rsid w:val="006240D4"/>
    <w:rsid w:val="0062551E"/>
    <w:rsid w:val="00627D7C"/>
    <w:rsid w:val="0063027B"/>
    <w:rsid w:val="00630E23"/>
    <w:rsid w:val="0063228C"/>
    <w:rsid w:val="00632E56"/>
    <w:rsid w:val="006339DD"/>
    <w:rsid w:val="00636365"/>
    <w:rsid w:val="00636BCB"/>
    <w:rsid w:val="006372D9"/>
    <w:rsid w:val="00640923"/>
    <w:rsid w:val="006409B7"/>
    <w:rsid w:val="006428FA"/>
    <w:rsid w:val="006430E3"/>
    <w:rsid w:val="006430FE"/>
    <w:rsid w:val="00643CAF"/>
    <w:rsid w:val="006444BB"/>
    <w:rsid w:val="006446E8"/>
    <w:rsid w:val="00644BDB"/>
    <w:rsid w:val="006462B3"/>
    <w:rsid w:val="006467D6"/>
    <w:rsid w:val="00647DA8"/>
    <w:rsid w:val="006508D6"/>
    <w:rsid w:val="0065102A"/>
    <w:rsid w:val="006529E0"/>
    <w:rsid w:val="006530F0"/>
    <w:rsid w:val="00653445"/>
    <w:rsid w:val="00653583"/>
    <w:rsid w:val="00654F69"/>
    <w:rsid w:val="006555B2"/>
    <w:rsid w:val="00656481"/>
    <w:rsid w:val="006564C8"/>
    <w:rsid w:val="00657B62"/>
    <w:rsid w:val="00657E48"/>
    <w:rsid w:val="006601EA"/>
    <w:rsid w:val="006604AE"/>
    <w:rsid w:val="00660DDE"/>
    <w:rsid w:val="00662921"/>
    <w:rsid w:val="006629A1"/>
    <w:rsid w:val="006655E0"/>
    <w:rsid w:val="00666C39"/>
    <w:rsid w:val="0066756C"/>
    <w:rsid w:val="00672BDF"/>
    <w:rsid w:val="00675648"/>
    <w:rsid w:val="00675D9A"/>
    <w:rsid w:val="0067707A"/>
    <w:rsid w:val="00680210"/>
    <w:rsid w:val="006802FA"/>
    <w:rsid w:val="00680A6C"/>
    <w:rsid w:val="00682A2E"/>
    <w:rsid w:val="00682B4C"/>
    <w:rsid w:val="00682D14"/>
    <w:rsid w:val="00682D27"/>
    <w:rsid w:val="00683153"/>
    <w:rsid w:val="00683AE7"/>
    <w:rsid w:val="00684A93"/>
    <w:rsid w:val="0068545F"/>
    <w:rsid w:val="0068559D"/>
    <w:rsid w:val="006859DC"/>
    <w:rsid w:val="00687264"/>
    <w:rsid w:val="00687BB1"/>
    <w:rsid w:val="00690E05"/>
    <w:rsid w:val="006929B4"/>
    <w:rsid w:val="00692F8B"/>
    <w:rsid w:val="006931F2"/>
    <w:rsid w:val="00693449"/>
    <w:rsid w:val="00693FFE"/>
    <w:rsid w:val="006944E4"/>
    <w:rsid w:val="006951D7"/>
    <w:rsid w:val="00695239"/>
    <w:rsid w:val="0069617C"/>
    <w:rsid w:val="00696224"/>
    <w:rsid w:val="006A01E7"/>
    <w:rsid w:val="006A03F1"/>
    <w:rsid w:val="006A0958"/>
    <w:rsid w:val="006A0D41"/>
    <w:rsid w:val="006A12DC"/>
    <w:rsid w:val="006A2652"/>
    <w:rsid w:val="006A2D3D"/>
    <w:rsid w:val="006A3667"/>
    <w:rsid w:val="006A42C0"/>
    <w:rsid w:val="006A4643"/>
    <w:rsid w:val="006A5180"/>
    <w:rsid w:val="006A544C"/>
    <w:rsid w:val="006A5BD2"/>
    <w:rsid w:val="006A67A7"/>
    <w:rsid w:val="006A6B8E"/>
    <w:rsid w:val="006A74EB"/>
    <w:rsid w:val="006B0998"/>
    <w:rsid w:val="006B164F"/>
    <w:rsid w:val="006B2EA3"/>
    <w:rsid w:val="006B3926"/>
    <w:rsid w:val="006B50D8"/>
    <w:rsid w:val="006B55E5"/>
    <w:rsid w:val="006B572D"/>
    <w:rsid w:val="006B5BDF"/>
    <w:rsid w:val="006B5F8D"/>
    <w:rsid w:val="006B6C8D"/>
    <w:rsid w:val="006B6CD2"/>
    <w:rsid w:val="006B6D16"/>
    <w:rsid w:val="006C0411"/>
    <w:rsid w:val="006C0439"/>
    <w:rsid w:val="006C07C6"/>
    <w:rsid w:val="006C1609"/>
    <w:rsid w:val="006C2509"/>
    <w:rsid w:val="006C2C7B"/>
    <w:rsid w:val="006C36CE"/>
    <w:rsid w:val="006C3EE4"/>
    <w:rsid w:val="006C453A"/>
    <w:rsid w:val="006C542C"/>
    <w:rsid w:val="006C616C"/>
    <w:rsid w:val="006C6196"/>
    <w:rsid w:val="006C6A9E"/>
    <w:rsid w:val="006C7D14"/>
    <w:rsid w:val="006D0E22"/>
    <w:rsid w:val="006D117B"/>
    <w:rsid w:val="006D30F4"/>
    <w:rsid w:val="006D39C7"/>
    <w:rsid w:val="006D5D22"/>
    <w:rsid w:val="006D721A"/>
    <w:rsid w:val="006D746C"/>
    <w:rsid w:val="006D7815"/>
    <w:rsid w:val="006D7D5B"/>
    <w:rsid w:val="006D7F25"/>
    <w:rsid w:val="006E13DE"/>
    <w:rsid w:val="006E1E7D"/>
    <w:rsid w:val="006E2451"/>
    <w:rsid w:val="006E24C7"/>
    <w:rsid w:val="006E2BB6"/>
    <w:rsid w:val="006E3125"/>
    <w:rsid w:val="006E36A8"/>
    <w:rsid w:val="006E37D5"/>
    <w:rsid w:val="006E40AE"/>
    <w:rsid w:val="006E5632"/>
    <w:rsid w:val="006E5DC9"/>
    <w:rsid w:val="006E6879"/>
    <w:rsid w:val="006E73FE"/>
    <w:rsid w:val="006E7CBE"/>
    <w:rsid w:val="006E7EBB"/>
    <w:rsid w:val="006F0217"/>
    <w:rsid w:val="006F2B6F"/>
    <w:rsid w:val="006F2C0F"/>
    <w:rsid w:val="006F3F72"/>
    <w:rsid w:val="006F4976"/>
    <w:rsid w:val="006F4E37"/>
    <w:rsid w:val="006F545D"/>
    <w:rsid w:val="006F5860"/>
    <w:rsid w:val="006F5BBC"/>
    <w:rsid w:val="006F5FC0"/>
    <w:rsid w:val="006F641A"/>
    <w:rsid w:val="00702058"/>
    <w:rsid w:val="00702FB9"/>
    <w:rsid w:val="0070307C"/>
    <w:rsid w:val="007032D8"/>
    <w:rsid w:val="00703691"/>
    <w:rsid w:val="007047BE"/>
    <w:rsid w:val="00705982"/>
    <w:rsid w:val="00706940"/>
    <w:rsid w:val="00706FDC"/>
    <w:rsid w:val="00710BF1"/>
    <w:rsid w:val="007119F4"/>
    <w:rsid w:val="007121E0"/>
    <w:rsid w:val="0071279C"/>
    <w:rsid w:val="00713DDE"/>
    <w:rsid w:val="0071574C"/>
    <w:rsid w:val="00715D7B"/>
    <w:rsid w:val="007160C9"/>
    <w:rsid w:val="0071660F"/>
    <w:rsid w:val="00716C2E"/>
    <w:rsid w:val="00716ECA"/>
    <w:rsid w:val="00717234"/>
    <w:rsid w:val="00720391"/>
    <w:rsid w:val="00721F5D"/>
    <w:rsid w:val="007223D5"/>
    <w:rsid w:val="00722651"/>
    <w:rsid w:val="00724E8F"/>
    <w:rsid w:val="0072604A"/>
    <w:rsid w:val="00726051"/>
    <w:rsid w:val="007267C2"/>
    <w:rsid w:val="00727CC3"/>
    <w:rsid w:val="00727FA8"/>
    <w:rsid w:val="00731E98"/>
    <w:rsid w:val="0073262C"/>
    <w:rsid w:val="00732AC7"/>
    <w:rsid w:val="00732D76"/>
    <w:rsid w:val="0073443F"/>
    <w:rsid w:val="00734866"/>
    <w:rsid w:val="00736314"/>
    <w:rsid w:val="0073796C"/>
    <w:rsid w:val="007419F3"/>
    <w:rsid w:val="007430C6"/>
    <w:rsid w:val="00743312"/>
    <w:rsid w:val="00743801"/>
    <w:rsid w:val="0074391C"/>
    <w:rsid w:val="007448FE"/>
    <w:rsid w:val="00745437"/>
    <w:rsid w:val="00745474"/>
    <w:rsid w:val="007454BB"/>
    <w:rsid w:val="00745B61"/>
    <w:rsid w:val="00746921"/>
    <w:rsid w:val="00746B71"/>
    <w:rsid w:val="007477C8"/>
    <w:rsid w:val="00747A85"/>
    <w:rsid w:val="00750D0B"/>
    <w:rsid w:val="00751BE2"/>
    <w:rsid w:val="00752498"/>
    <w:rsid w:val="00753694"/>
    <w:rsid w:val="00754664"/>
    <w:rsid w:val="00755A61"/>
    <w:rsid w:val="00756DC4"/>
    <w:rsid w:val="00756F58"/>
    <w:rsid w:val="00757731"/>
    <w:rsid w:val="00757EC3"/>
    <w:rsid w:val="0076098C"/>
    <w:rsid w:val="007613B4"/>
    <w:rsid w:val="007614BE"/>
    <w:rsid w:val="00761A29"/>
    <w:rsid w:val="00761CC5"/>
    <w:rsid w:val="00762566"/>
    <w:rsid w:val="007636B5"/>
    <w:rsid w:val="00763DCE"/>
    <w:rsid w:val="00763F2C"/>
    <w:rsid w:val="0076443B"/>
    <w:rsid w:val="007663C0"/>
    <w:rsid w:val="00767379"/>
    <w:rsid w:val="00767886"/>
    <w:rsid w:val="00770116"/>
    <w:rsid w:val="0077034E"/>
    <w:rsid w:val="00770EDD"/>
    <w:rsid w:val="00772F19"/>
    <w:rsid w:val="00773C48"/>
    <w:rsid w:val="007740BD"/>
    <w:rsid w:val="007743E9"/>
    <w:rsid w:val="00774A2F"/>
    <w:rsid w:val="007758F2"/>
    <w:rsid w:val="007766C4"/>
    <w:rsid w:val="007767B9"/>
    <w:rsid w:val="007769E7"/>
    <w:rsid w:val="00777842"/>
    <w:rsid w:val="0078045A"/>
    <w:rsid w:val="007804C5"/>
    <w:rsid w:val="00780A26"/>
    <w:rsid w:val="0078133C"/>
    <w:rsid w:val="00781D90"/>
    <w:rsid w:val="007824FA"/>
    <w:rsid w:val="00782FFF"/>
    <w:rsid w:val="0078324E"/>
    <w:rsid w:val="00784E6D"/>
    <w:rsid w:val="00786431"/>
    <w:rsid w:val="00786DE8"/>
    <w:rsid w:val="00787E6C"/>
    <w:rsid w:val="007907AF"/>
    <w:rsid w:val="00790A8C"/>
    <w:rsid w:val="007910C6"/>
    <w:rsid w:val="007934EC"/>
    <w:rsid w:val="00794654"/>
    <w:rsid w:val="00795287"/>
    <w:rsid w:val="00796715"/>
    <w:rsid w:val="007967EA"/>
    <w:rsid w:val="007A011A"/>
    <w:rsid w:val="007A2FC5"/>
    <w:rsid w:val="007A3C32"/>
    <w:rsid w:val="007A5881"/>
    <w:rsid w:val="007A64B3"/>
    <w:rsid w:val="007A683A"/>
    <w:rsid w:val="007B097D"/>
    <w:rsid w:val="007B0FCE"/>
    <w:rsid w:val="007B1AB0"/>
    <w:rsid w:val="007B1B84"/>
    <w:rsid w:val="007B1FBB"/>
    <w:rsid w:val="007B2D61"/>
    <w:rsid w:val="007B3BB0"/>
    <w:rsid w:val="007B4191"/>
    <w:rsid w:val="007B45E2"/>
    <w:rsid w:val="007B4971"/>
    <w:rsid w:val="007B4F15"/>
    <w:rsid w:val="007B50E5"/>
    <w:rsid w:val="007B52A1"/>
    <w:rsid w:val="007B559C"/>
    <w:rsid w:val="007B5B29"/>
    <w:rsid w:val="007B62DB"/>
    <w:rsid w:val="007B72C5"/>
    <w:rsid w:val="007B7E15"/>
    <w:rsid w:val="007C0C24"/>
    <w:rsid w:val="007C1C57"/>
    <w:rsid w:val="007C2317"/>
    <w:rsid w:val="007C2A3C"/>
    <w:rsid w:val="007C3BA7"/>
    <w:rsid w:val="007C3ED8"/>
    <w:rsid w:val="007C3F3F"/>
    <w:rsid w:val="007C4AAB"/>
    <w:rsid w:val="007C6869"/>
    <w:rsid w:val="007D01F9"/>
    <w:rsid w:val="007D02B6"/>
    <w:rsid w:val="007D1958"/>
    <w:rsid w:val="007D1D92"/>
    <w:rsid w:val="007D3544"/>
    <w:rsid w:val="007D3572"/>
    <w:rsid w:val="007D3815"/>
    <w:rsid w:val="007D3DD4"/>
    <w:rsid w:val="007D4434"/>
    <w:rsid w:val="007D497E"/>
    <w:rsid w:val="007D579E"/>
    <w:rsid w:val="007D5E67"/>
    <w:rsid w:val="007D6C01"/>
    <w:rsid w:val="007E1173"/>
    <w:rsid w:val="007E12FC"/>
    <w:rsid w:val="007E2068"/>
    <w:rsid w:val="007E2146"/>
    <w:rsid w:val="007E226A"/>
    <w:rsid w:val="007E2526"/>
    <w:rsid w:val="007E2CFB"/>
    <w:rsid w:val="007E5D67"/>
    <w:rsid w:val="007E68FE"/>
    <w:rsid w:val="007E6D78"/>
    <w:rsid w:val="007E716B"/>
    <w:rsid w:val="007F0159"/>
    <w:rsid w:val="007F0376"/>
    <w:rsid w:val="007F054F"/>
    <w:rsid w:val="007F1188"/>
    <w:rsid w:val="007F182C"/>
    <w:rsid w:val="007F4067"/>
    <w:rsid w:val="007F4448"/>
    <w:rsid w:val="007F557B"/>
    <w:rsid w:val="007F56AA"/>
    <w:rsid w:val="007F6570"/>
    <w:rsid w:val="007F7116"/>
    <w:rsid w:val="007F72F8"/>
    <w:rsid w:val="007F74B9"/>
    <w:rsid w:val="007F7B46"/>
    <w:rsid w:val="00800454"/>
    <w:rsid w:val="00800577"/>
    <w:rsid w:val="008009F2"/>
    <w:rsid w:val="00801339"/>
    <w:rsid w:val="0080162F"/>
    <w:rsid w:val="00801764"/>
    <w:rsid w:val="00801AFB"/>
    <w:rsid w:val="00802DCA"/>
    <w:rsid w:val="008033AF"/>
    <w:rsid w:val="008038B7"/>
    <w:rsid w:val="00806F4E"/>
    <w:rsid w:val="00807E3D"/>
    <w:rsid w:val="00811FC1"/>
    <w:rsid w:val="00812865"/>
    <w:rsid w:val="00812C8E"/>
    <w:rsid w:val="00813109"/>
    <w:rsid w:val="00813428"/>
    <w:rsid w:val="008147D5"/>
    <w:rsid w:val="00815135"/>
    <w:rsid w:val="00815FE0"/>
    <w:rsid w:val="0081779F"/>
    <w:rsid w:val="00820F36"/>
    <w:rsid w:val="008212B1"/>
    <w:rsid w:val="00822999"/>
    <w:rsid w:val="008230E3"/>
    <w:rsid w:val="00823A73"/>
    <w:rsid w:val="008242A9"/>
    <w:rsid w:val="008246CD"/>
    <w:rsid w:val="0082491B"/>
    <w:rsid w:val="00825B8F"/>
    <w:rsid w:val="00825FD3"/>
    <w:rsid w:val="00826882"/>
    <w:rsid w:val="008300C1"/>
    <w:rsid w:val="00830767"/>
    <w:rsid w:val="008308AD"/>
    <w:rsid w:val="008323B5"/>
    <w:rsid w:val="00832427"/>
    <w:rsid w:val="00832A22"/>
    <w:rsid w:val="0083427F"/>
    <w:rsid w:val="00835443"/>
    <w:rsid w:val="00835F86"/>
    <w:rsid w:val="00836EE2"/>
    <w:rsid w:val="008374C4"/>
    <w:rsid w:val="008377B7"/>
    <w:rsid w:val="008406F6"/>
    <w:rsid w:val="00840D3B"/>
    <w:rsid w:val="00842540"/>
    <w:rsid w:val="00842695"/>
    <w:rsid w:val="008428FA"/>
    <w:rsid w:val="00842F4F"/>
    <w:rsid w:val="00843043"/>
    <w:rsid w:val="008430D4"/>
    <w:rsid w:val="0084350F"/>
    <w:rsid w:val="00843824"/>
    <w:rsid w:val="00843A38"/>
    <w:rsid w:val="008443EE"/>
    <w:rsid w:val="00844D03"/>
    <w:rsid w:val="0084580A"/>
    <w:rsid w:val="008464D7"/>
    <w:rsid w:val="008466EC"/>
    <w:rsid w:val="0085250C"/>
    <w:rsid w:val="00852FCC"/>
    <w:rsid w:val="00853A44"/>
    <w:rsid w:val="00853D1A"/>
    <w:rsid w:val="00856A25"/>
    <w:rsid w:val="00857395"/>
    <w:rsid w:val="008577CA"/>
    <w:rsid w:val="008600FB"/>
    <w:rsid w:val="00860935"/>
    <w:rsid w:val="0086132C"/>
    <w:rsid w:val="00861CFC"/>
    <w:rsid w:val="00862724"/>
    <w:rsid w:val="00863FB5"/>
    <w:rsid w:val="008643C8"/>
    <w:rsid w:val="0086453A"/>
    <w:rsid w:val="008647A7"/>
    <w:rsid w:val="00864AD9"/>
    <w:rsid w:val="00864BE8"/>
    <w:rsid w:val="00865449"/>
    <w:rsid w:val="008656BE"/>
    <w:rsid w:val="00865B3D"/>
    <w:rsid w:val="00867141"/>
    <w:rsid w:val="008672EB"/>
    <w:rsid w:val="008672EC"/>
    <w:rsid w:val="008674A2"/>
    <w:rsid w:val="00870F2B"/>
    <w:rsid w:val="00871618"/>
    <w:rsid w:val="0087185A"/>
    <w:rsid w:val="00877145"/>
    <w:rsid w:val="0088134D"/>
    <w:rsid w:val="0088153E"/>
    <w:rsid w:val="00881550"/>
    <w:rsid w:val="0088155B"/>
    <w:rsid w:val="00881CFF"/>
    <w:rsid w:val="00883842"/>
    <w:rsid w:val="00886718"/>
    <w:rsid w:val="00887784"/>
    <w:rsid w:val="00887966"/>
    <w:rsid w:val="00887E63"/>
    <w:rsid w:val="0089126F"/>
    <w:rsid w:val="00891880"/>
    <w:rsid w:val="0089293D"/>
    <w:rsid w:val="00892CA1"/>
    <w:rsid w:val="00892ECA"/>
    <w:rsid w:val="0089320F"/>
    <w:rsid w:val="00893B0E"/>
    <w:rsid w:val="00894F0A"/>
    <w:rsid w:val="008950ED"/>
    <w:rsid w:val="00895E46"/>
    <w:rsid w:val="008964BB"/>
    <w:rsid w:val="00897410"/>
    <w:rsid w:val="00897AA7"/>
    <w:rsid w:val="008A0E49"/>
    <w:rsid w:val="008A1324"/>
    <w:rsid w:val="008A13EC"/>
    <w:rsid w:val="008A1D65"/>
    <w:rsid w:val="008A1F17"/>
    <w:rsid w:val="008A3AD3"/>
    <w:rsid w:val="008A3E83"/>
    <w:rsid w:val="008A5FB0"/>
    <w:rsid w:val="008A62E4"/>
    <w:rsid w:val="008A6F9C"/>
    <w:rsid w:val="008A70AB"/>
    <w:rsid w:val="008A7D5F"/>
    <w:rsid w:val="008B0A5B"/>
    <w:rsid w:val="008B10FD"/>
    <w:rsid w:val="008B1175"/>
    <w:rsid w:val="008B178D"/>
    <w:rsid w:val="008B21ED"/>
    <w:rsid w:val="008B4B57"/>
    <w:rsid w:val="008B540F"/>
    <w:rsid w:val="008B58C6"/>
    <w:rsid w:val="008B59F8"/>
    <w:rsid w:val="008B5C54"/>
    <w:rsid w:val="008B60D4"/>
    <w:rsid w:val="008B61C1"/>
    <w:rsid w:val="008B74F8"/>
    <w:rsid w:val="008B760C"/>
    <w:rsid w:val="008C037B"/>
    <w:rsid w:val="008C09A0"/>
    <w:rsid w:val="008C2C06"/>
    <w:rsid w:val="008C2C75"/>
    <w:rsid w:val="008C4B9F"/>
    <w:rsid w:val="008C557B"/>
    <w:rsid w:val="008C5689"/>
    <w:rsid w:val="008C589B"/>
    <w:rsid w:val="008C5C70"/>
    <w:rsid w:val="008C6280"/>
    <w:rsid w:val="008C7326"/>
    <w:rsid w:val="008D023F"/>
    <w:rsid w:val="008D026D"/>
    <w:rsid w:val="008D030C"/>
    <w:rsid w:val="008D0FD8"/>
    <w:rsid w:val="008D1B12"/>
    <w:rsid w:val="008D2D20"/>
    <w:rsid w:val="008D2EF9"/>
    <w:rsid w:val="008D388E"/>
    <w:rsid w:val="008D459C"/>
    <w:rsid w:val="008D489E"/>
    <w:rsid w:val="008D4FE9"/>
    <w:rsid w:val="008D6FFE"/>
    <w:rsid w:val="008D72CA"/>
    <w:rsid w:val="008E0A20"/>
    <w:rsid w:val="008E0C60"/>
    <w:rsid w:val="008E14C3"/>
    <w:rsid w:val="008E1D65"/>
    <w:rsid w:val="008E2DB6"/>
    <w:rsid w:val="008E36D9"/>
    <w:rsid w:val="008E449D"/>
    <w:rsid w:val="008E4CAB"/>
    <w:rsid w:val="008E5D23"/>
    <w:rsid w:val="008E62BC"/>
    <w:rsid w:val="008E6EC8"/>
    <w:rsid w:val="008E7273"/>
    <w:rsid w:val="008E7C95"/>
    <w:rsid w:val="008E7E5B"/>
    <w:rsid w:val="008F050B"/>
    <w:rsid w:val="008F1675"/>
    <w:rsid w:val="008F2249"/>
    <w:rsid w:val="008F2C1A"/>
    <w:rsid w:val="008F47D9"/>
    <w:rsid w:val="008F4C07"/>
    <w:rsid w:val="008F5497"/>
    <w:rsid w:val="008F5F26"/>
    <w:rsid w:val="00900014"/>
    <w:rsid w:val="00901A10"/>
    <w:rsid w:val="009034BD"/>
    <w:rsid w:val="0090363C"/>
    <w:rsid w:val="00904012"/>
    <w:rsid w:val="00904163"/>
    <w:rsid w:val="00904BB0"/>
    <w:rsid w:val="009050D8"/>
    <w:rsid w:val="00905B70"/>
    <w:rsid w:val="009072FB"/>
    <w:rsid w:val="00907AD0"/>
    <w:rsid w:val="00910C13"/>
    <w:rsid w:val="009111ED"/>
    <w:rsid w:val="00911869"/>
    <w:rsid w:val="0091291B"/>
    <w:rsid w:val="0091294B"/>
    <w:rsid w:val="009132CD"/>
    <w:rsid w:val="009132F9"/>
    <w:rsid w:val="00913737"/>
    <w:rsid w:val="00913E7C"/>
    <w:rsid w:val="0091434E"/>
    <w:rsid w:val="009149BA"/>
    <w:rsid w:val="00915853"/>
    <w:rsid w:val="00916E00"/>
    <w:rsid w:val="00916FE8"/>
    <w:rsid w:val="009203CB"/>
    <w:rsid w:val="00920A8C"/>
    <w:rsid w:val="00921806"/>
    <w:rsid w:val="00923DF0"/>
    <w:rsid w:val="009242AB"/>
    <w:rsid w:val="00924C57"/>
    <w:rsid w:val="0092567C"/>
    <w:rsid w:val="00925A70"/>
    <w:rsid w:val="00926FB8"/>
    <w:rsid w:val="0092768F"/>
    <w:rsid w:val="00930BEA"/>
    <w:rsid w:val="009316A7"/>
    <w:rsid w:val="00933164"/>
    <w:rsid w:val="00933E77"/>
    <w:rsid w:val="00935466"/>
    <w:rsid w:val="009359D8"/>
    <w:rsid w:val="009361E8"/>
    <w:rsid w:val="009372E5"/>
    <w:rsid w:val="00937538"/>
    <w:rsid w:val="00937562"/>
    <w:rsid w:val="00940C56"/>
    <w:rsid w:val="00941302"/>
    <w:rsid w:val="00941C0D"/>
    <w:rsid w:val="0094237D"/>
    <w:rsid w:val="00942435"/>
    <w:rsid w:val="0094280C"/>
    <w:rsid w:val="0094391F"/>
    <w:rsid w:val="00943EFD"/>
    <w:rsid w:val="00944AEF"/>
    <w:rsid w:val="00944CA9"/>
    <w:rsid w:val="0094555D"/>
    <w:rsid w:val="0094593F"/>
    <w:rsid w:val="00945EC9"/>
    <w:rsid w:val="00946095"/>
    <w:rsid w:val="0094621A"/>
    <w:rsid w:val="009463CA"/>
    <w:rsid w:val="00947BDD"/>
    <w:rsid w:val="00947FD2"/>
    <w:rsid w:val="00951709"/>
    <w:rsid w:val="00951F21"/>
    <w:rsid w:val="009524CF"/>
    <w:rsid w:val="009525F7"/>
    <w:rsid w:val="00952BEC"/>
    <w:rsid w:val="00952EE0"/>
    <w:rsid w:val="00952FCB"/>
    <w:rsid w:val="00953221"/>
    <w:rsid w:val="0095472B"/>
    <w:rsid w:val="009558F2"/>
    <w:rsid w:val="009574C7"/>
    <w:rsid w:val="0095767A"/>
    <w:rsid w:val="00957BF5"/>
    <w:rsid w:val="00960BA0"/>
    <w:rsid w:val="00960D4A"/>
    <w:rsid w:val="009610B1"/>
    <w:rsid w:val="00962437"/>
    <w:rsid w:val="00963A7B"/>
    <w:rsid w:val="00963B48"/>
    <w:rsid w:val="00964962"/>
    <w:rsid w:val="00964B0A"/>
    <w:rsid w:val="00965033"/>
    <w:rsid w:val="0096524F"/>
    <w:rsid w:val="00965B77"/>
    <w:rsid w:val="009705FE"/>
    <w:rsid w:val="009718A2"/>
    <w:rsid w:val="00971B06"/>
    <w:rsid w:val="00972124"/>
    <w:rsid w:val="0097266A"/>
    <w:rsid w:val="009727F2"/>
    <w:rsid w:val="0097295C"/>
    <w:rsid w:val="00972EDF"/>
    <w:rsid w:val="00972F8E"/>
    <w:rsid w:val="00973F0A"/>
    <w:rsid w:val="00974308"/>
    <w:rsid w:val="00974982"/>
    <w:rsid w:val="00974AB2"/>
    <w:rsid w:val="0097649A"/>
    <w:rsid w:val="00977BF1"/>
    <w:rsid w:val="00980010"/>
    <w:rsid w:val="00980FCA"/>
    <w:rsid w:val="0098266F"/>
    <w:rsid w:val="00982F47"/>
    <w:rsid w:val="00983E69"/>
    <w:rsid w:val="0098465A"/>
    <w:rsid w:val="00986710"/>
    <w:rsid w:val="00987340"/>
    <w:rsid w:val="00987BF0"/>
    <w:rsid w:val="00987CAC"/>
    <w:rsid w:val="00990B1D"/>
    <w:rsid w:val="00991671"/>
    <w:rsid w:val="00991948"/>
    <w:rsid w:val="009924EF"/>
    <w:rsid w:val="009931B0"/>
    <w:rsid w:val="009943D5"/>
    <w:rsid w:val="00995E8F"/>
    <w:rsid w:val="00996853"/>
    <w:rsid w:val="009A03D2"/>
    <w:rsid w:val="009A125A"/>
    <w:rsid w:val="009A1A68"/>
    <w:rsid w:val="009A1CAD"/>
    <w:rsid w:val="009A252D"/>
    <w:rsid w:val="009A28BC"/>
    <w:rsid w:val="009A2F43"/>
    <w:rsid w:val="009A3369"/>
    <w:rsid w:val="009A3438"/>
    <w:rsid w:val="009A4244"/>
    <w:rsid w:val="009A46BF"/>
    <w:rsid w:val="009A5664"/>
    <w:rsid w:val="009A5C54"/>
    <w:rsid w:val="009A6C9C"/>
    <w:rsid w:val="009A7688"/>
    <w:rsid w:val="009B0298"/>
    <w:rsid w:val="009B0B73"/>
    <w:rsid w:val="009B0D15"/>
    <w:rsid w:val="009B1457"/>
    <w:rsid w:val="009B2D8C"/>
    <w:rsid w:val="009B4EAB"/>
    <w:rsid w:val="009B53D9"/>
    <w:rsid w:val="009B73A1"/>
    <w:rsid w:val="009B7613"/>
    <w:rsid w:val="009C109F"/>
    <w:rsid w:val="009C10F2"/>
    <w:rsid w:val="009C1880"/>
    <w:rsid w:val="009C1C02"/>
    <w:rsid w:val="009C27D6"/>
    <w:rsid w:val="009C363E"/>
    <w:rsid w:val="009C38D5"/>
    <w:rsid w:val="009C4198"/>
    <w:rsid w:val="009C4F64"/>
    <w:rsid w:val="009C6208"/>
    <w:rsid w:val="009C76F8"/>
    <w:rsid w:val="009C78CC"/>
    <w:rsid w:val="009C7C86"/>
    <w:rsid w:val="009D0918"/>
    <w:rsid w:val="009D0E4D"/>
    <w:rsid w:val="009D1D82"/>
    <w:rsid w:val="009D405E"/>
    <w:rsid w:val="009D4233"/>
    <w:rsid w:val="009D4659"/>
    <w:rsid w:val="009D4C3A"/>
    <w:rsid w:val="009D63B8"/>
    <w:rsid w:val="009D6992"/>
    <w:rsid w:val="009D6D8C"/>
    <w:rsid w:val="009D6D90"/>
    <w:rsid w:val="009D7A14"/>
    <w:rsid w:val="009D7B22"/>
    <w:rsid w:val="009E0444"/>
    <w:rsid w:val="009E1CCE"/>
    <w:rsid w:val="009E1D53"/>
    <w:rsid w:val="009E1DFE"/>
    <w:rsid w:val="009E209B"/>
    <w:rsid w:val="009E31B5"/>
    <w:rsid w:val="009E3FCD"/>
    <w:rsid w:val="009E5173"/>
    <w:rsid w:val="009E68AF"/>
    <w:rsid w:val="009E70EA"/>
    <w:rsid w:val="009E7E0D"/>
    <w:rsid w:val="009F1DA6"/>
    <w:rsid w:val="009F27ED"/>
    <w:rsid w:val="009F2F53"/>
    <w:rsid w:val="009F342F"/>
    <w:rsid w:val="009F3F33"/>
    <w:rsid w:val="009F447E"/>
    <w:rsid w:val="009F49BA"/>
    <w:rsid w:val="009F4F21"/>
    <w:rsid w:val="009F4F77"/>
    <w:rsid w:val="009F4F8B"/>
    <w:rsid w:val="009F5B4B"/>
    <w:rsid w:val="009F5EF3"/>
    <w:rsid w:val="009F61A9"/>
    <w:rsid w:val="009F6A05"/>
    <w:rsid w:val="009F703D"/>
    <w:rsid w:val="009F7999"/>
    <w:rsid w:val="009F7CDD"/>
    <w:rsid w:val="00A0029B"/>
    <w:rsid w:val="00A016D4"/>
    <w:rsid w:val="00A01A8E"/>
    <w:rsid w:val="00A027DC"/>
    <w:rsid w:val="00A028E2"/>
    <w:rsid w:val="00A03627"/>
    <w:rsid w:val="00A03705"/>
    <w:rsid w:val="00A03F5B"/>
    <w:rsid w:val="00A03F74"/>
    <w:rsid w:val="00A0462E"/>
    <w:rsid w:val="00A05651"/>
    <w:rsid w:val="00A05A9F"/>
    <w:rsid w:val="00A05C73"/>
    <w:rsid w:val="00A05CD4"/>
    <w:rsid w:val="00A0619B"/>
    <w:rsid w:val="00A064C7"/>
    <w:rsid w:val="00A076C9"/>
    <w:rsid w:val="00A07C93"/>
    <w:rsid w:val="00A108CE"/>
    <w:rsid w:val="00A13B25"/>
    <w:rsid w:val="00A143B9"/>
    <w:rsid w:val="00A14A5D"/>
    <w:rsid w:val="00A157C0"/>
    <w:rsid w:val="00A2032F"/>
    <w:rsid w:val="00A20AC3"/>
    <w:rsid w:val="00A210A0"/>
    <w:rsid w:val="00A235F3"/>
    <w:rsid w:val="00A23CEE"/>
    <w:rsid w:val="00A242E1"/>
    <w:rsid w:val="00A244F7"/>
    <w:rsid w:val="00A2474B"/>
    <w:rsid w:val="00A2497D"/>
    <w:rsid w:val="00A26E8E"/>
    <w:rsid w:val="00A273AF"/>
    <w:rsid w:val="00A2785C"/>
    <w:rsid w:val="00A31DE0"/>
    <w:rsid w:val="00A31F9F"/>
    <w:rsid w:val="00A33300"/>
    <w:rsid w:val="00A335FF"/>
    <w:rsid w:val="00A348F8"/>
    <w:rsid w:val="00A367AE"/>
    <w:rsid w:val="00A36FA9"/>
    <w:rsid w:val="00A377F3"/>
    <w:rsid w:val="00A379E5"/>
    <w:rsid w:val="00A42F63"/>
    <w:rsid w:val="00A43C0A"/>
    <w:rsid w:val="00A44979"/>
    <w:rsid w:val="00A44FE5"/>
    <w:rsid w:val="00A455A8"/>
    <w:rsid w:val="00A45D21"/>
    <w:rsid w:val="00A47692"/>
    <w:rsid w:val="00A500C7"/>
    <w:rsid w:val="00A50E9E"/>
    <w:rsid w:val="00A513BD"/>
    <w:rsid w:val="00A51455"/>
    <w:rsid w:val="00A519D2"/>
    <w:rsid w:val="00A51DC6"/>
    <w:rsid w:val="00A51E89"/>
    <w:rsid w:val="00A526E1"/>
    <w:rsid w:val="00A53171"/>
    <w:rsid w:val="00A53D85"/>
    <w:rsid w:val="00A53F5A"/>
    <w:rsid w:val="00A5403B"/>
    <w:rsid w:val="00A5461B"/>
    <w:rsid w:val="00A54F6E"/>
    <w:rsid w:val="00A5526A"/>
    <w:rsid w:val="00A56057"/>
    <w:rsid w:val="00A57670"/>
    <w:rsid w:val="00A60013"/>
    <w:rsid w:val="00A61A8D"/>
    <w:rsid w:val="00A6237F"/>
    <w:rsid w:val="00A629A6"/>
    <w:rsid w:val="00A62AB7"/>
    <w:rsid w:val="00A63A9C"/>
    <w:rsid w:val="00A64EA9"/>
    <w:rsid w:val="00A64FB4"/>
    <w:rsid w:val="00A65761"/>
    <w:rsid w:val="00A65B4A"/>
    <w:rsid w:val="00A67699"/>
    <w:rsid w:val="00A67F31"/>
    <w:rsid w:val="00A70100"/>
    <w:rsid w:val="00A70409"/>
    <w:rsid w:val="00A70B18"/>
    <w:rsid w:val="00A71394"/>
    <w:rsid w:val="00A7243C"/>
    <w:rsid w:val="00A7326C"/>
    <w:rsid w:val="00A73C61"/>
    <w:rsid w:val="00A74292"/>
    <w:rsid w:val="00A74EB4"/>
    <w:rsid w:val="00A7595E"/>
    <w:rsid w:val="00A75F00"/>
    <w:rsid w:val="00A77543"/>
    <w:rsid w:val="00A77E96"/>
    <w:rsid w:val="00A80383"/>
    <w:rsid w:val="00A803E5"/>
    <w:rsid w:val="00A8091C"/>
    <w:rsid w:val="00A81A01"/>
    <w:rsid w:val="00A81DAE"/>
    <w:rsid w:val="00A82D6A"/>
    <w:rsid w:val="00A83DC5"/>
    <w:rsid w:val="00A83EE4"/>
    <w:rsid w:val="00A84575"/>
    <w:rsid w:val="00A84648"/>
    <w:rsid w:val="00A846E8"/>
    <w:rsid w:val="00A84D43"/>
    <w:rsid w:val="00A86F2D"/>
    <w:rsid w:val="00A87905"/>
    <w:rsid w:val="00A90A60"/>
    <w:rsid w:val="00A91280"/>
    <w:rsid w:val="00A9177A"/>
    <w:rsid w:val="00A91E91"/>
    <w:rsid w:val="00A92538"/>
    <w:rsid w:val="00A93BB6"/>
    <w:rsid w:val="00A94236"/>
    <w:rsid w:val="00A9586E"/>
    <w:rsid w:val="00A966B7"/>
    <w:rsid w:val="00A96806"/>
    <w:rsid w:val="00A9698F"/>
    <w:rsid w:val="00A97EF6"/>
    <w:rsid w:val="00AA0A2E"/>
    <w:rsid w:val="00AA0B7E"/>
    <w:rsid w:val="00AA14AF"/>
    <w:rsid w:val="00AA1B12"/>
    <w:rsid w:val="00AA28AE"/>
    <w:rsid w:val="00AA33A8"/>
    <w:rsid w:val="00AA4ADA"/>
    <w:rsid w:val="00AA6240"/>
    <w:rsid w:val="00AA6979"/>
    <w:rsid w:val="00AB06E9"/>
    <w:rsid w:val="00AB0CF8"/>
    <w:rsid w:val="00AB1C9B"/>
    <w:rsid w:val="00AB2A0A"/>
    <w:rsid w:val="00AB2A4B"/>
    <w:rsid w:val="00AB3B04"/>
    <w:rsid w:val="00AB461E"/>
    <w:rsid w:val="00AB4823"/>
    <w:rsid w:val="00AB4B82"/>
    <w:rsid w:val="00AB4DF0"/>
    <w:rsid w:val="00AB5EE4"/>
    <w:rsid w:val="00AB6954"/>
    <w:rsid w:val="00AB6DA6"/>
    <w:rsid w:val="00AB757F"/>
    <w:rsid w:val="00AC00FA"/>
    <w:rsid w:val="00AC1815"/>
    <w:rsid w:val="00AC2A41"/>
    <w:rsid w:val="00AC500C"/>
    <w:rsid w:val="00AC736F"/>
    <w:rsid w:val="00AD063E"/>
    <w:rsid w:val="00AD0B93"/>
    <w:rsid w:val="00AD1187"/>
    <w:rsid w:val="00AD1839"/>
    <w:rsid w:val="00AD24E6"/>
    <w:rsid w:val="00AD2780"/>
    <w:rsid w:val="00AD3440"/>
    <w:rsid w:val="00AD4467"/>
    <w:rsid w:val="00AD5661"/>
    <w:rsid w:val="00AD5824"/>
    <w:rsid w:val="00AD6317"/>
    <w:rsid w:val="00AE024E"/>
    <w:rsid w:val="00AE0319"/>
    <w:rsid w:val="00AE04A0"/>
    <w:rsid w:val="00AE1722"/>
    <w:rsid w:val="00AE1BC9"/>
    <w:rsid w:val="00AE2B76"/>
    <w:rsid w:val="00AE3052"/>
    <w:rsid w:val="00AE42F5"/>
    <w:rsid w:val="00AE6B46"/>
    <w:rsid w:val="00AE6D77"/>
    <w:rsid w:val="00AE7304"/>
    <w:rsid w:val="00AE762F"/>
    <w:rsid w:val="00AF06C0"/>
    <w:rsid w:val="00AF0CDE"/>
    <w:rsid w:val="00AF1471"/>
    <w:rsid w:val="00AF211B"/>
    <w:rsid w:val="00AF25AB"/>
    <w:rsid w:val="00AF278F"/>
    <w:rsid w:val="00AF38A6"/>
    <w:rsid w:val="00AF3944"/>
    <w:rsid w:val="00AF4605"/>
    <w:rsid w:val="00AF64C4"/>
    <w:rsid w:val="00AF68E5"/>
    <w:rsid w:val="00AF6A8F"/>
    <w:rsid w:val="00AF7EA7"/>
    <w:rsid w:val="00B00ACD"/>
    <w:rsid w:val="00B0142D"/>
    <w:rsid w:val="00B01BC5"/>
    <w:rsid w:val="00B02974"/>
    <w:rsid w:val="00B047D4"/>
    <w:rsid w:val="00B04C1C"/>
    <w:rsid w:val="00B05594"/>
    <w:rsid w:val="00B0577C"/>
    <w:rsid w:val="00B05B83"/>
    <w:rsid w:val="00B068EC"/>
    <w:rsid w:val="00B0745D"/>
    <w:rsid w:val="00B10335"/>
    <w:rsid w:val="00B108C5"/>
    <w:rsid w:val="00B126AD"/>
    <w:rsid w:val="00B1286A"/>
    <w:rsid w:val="00B13BD2"/>
    <w:rsid w:val="00B147A6"/>
    <w:rsid w:val="00B14B3A"/>
    <w:rsid w:val="00B14C4A"/>
    <w:rsid w:val="00B1585C"/>
    <w:rsid w:val="00B15D25"/>
    <w:rsid w:val="00B17A1C"/>
    <w:rsid w:val="00B20362"/>
    <w:rsid w:val="00B22613"/>
    <w:rsid w:val="00B22675"/>
    <w:rsid w:val="00B22F71"/>
    <w:rsid w:val="00B23729"/>
    <w:rsid w:val="00B2474E"/>
    <w:rsid w:val="00B249E9"/>
    <w:rsid w:val="00B250D1"/>
    <w:rsid w:val="00B260C5"/>
    <w:rsid w:val="00B26116"/>
    <w:rsid w:val="00B3063A"/>
    <w:rsid w:val="00B32AB5"/>
    <w:rsid w:val="00B33063"/>
    <w:rsid w:val="00B3358C"/>
    <w:rsid w:val="00B33E1C"/>
    <w:rsid w:val="00B34202"/>
    <w:rsid w:val="00B3546F"/>
    <w:rsid w:val="00B355B1"/>
    <w:rsid w:val="00B36A19"/>
    <w:rsid w:val="00B36A1B"/>
    <w:rsid w:val="00B40728"/>
    <w:rsid w:val="00B414AC"/>
    <w:rsid w:val="00B41573"/>
    <w:rsid w:val="00B41958"/>
    <w:rsid w:val="00B41C6E"/>
    <w:rsid w:val="00B423FE"/>
    <w:rsid w:val="00B42B05"/>
    <w:rsid w:val="00B444A2"/>
    <w:rsid w:val="00B445A4"/>
    <w:rsid w:val="00B469B4"/>
    <w:rsid w:val="00B46DFA"/>
    <w:rsid w:val="00B46E28"/>
    <w:rsid w:val="00B46F2E"/>
    <w:rsid w:val="00B47001"/>
    <w:rsid w:val="00B474B2"/>
    <w:rsid w:val="00B5011C"/>
    <w:rsid w:val="00B510F6"/>
    <w:rsid w:val="00B51EE8"/>
    <w:rsid w:val="00B52545"/>
    <w:rsid w:val="00B52DCF"/>
    <w:rsid w:val="00B5376C"/>
    <w:rsid w:val="00B5474A"/>
    <w:rsid w:val="00B55DA9"/>
    <w:rsid w:val="00B56DA3"/>
    <w:rsid w:val="00B57D03"/>
    <w:rsid w:val="00B6077F"/>
    <w:rsid w:val="00B61962"/>
    <w:rsid w:val="00B619D0"/>
    <w:rsid w:val="00B6268F"/>
    <w:rsid w:val="00B645CA"/>
    <w:rsid w:val="00B6462E"/>
    <w:rsid w:val="00B64656"/>
    <w:rsid w:val="00B66923"/>
    <w:rsid w:val="00B67A60"/>
    <w:rsid w:val="00B716BB"/>
    <w:rsid w:val="00B72F05"/>
    <w:rsid w:val="00B74B4C"/>
    <w:rsid w:val="00B74EC4"/>
    <w:rsid w:val="00B75A49"/>
    <w:rsid w:val="00B763DE"/>
    <w:rsid w:val="00B779D1"/>
    <w:rsid w:val="00B80384"/>
    <w:rsid w:val="00B80DC3"/>
    <w:rsid w:val="00B8176D"/>
    <w:rsid w:val="00B82331"/>
    <w:rsid w:val="00B82E47"/>
    <w:rsid w:val="00B84E1F"/>
    <w:rsid w:val="00B85F07"/>
    <w:rsid w:val="00B87E6A"/>
    <w:rsid w:val="00B9040D"/>
    <w:rsid w:val="00B90A5D"/>
    <w:rsid w:val="00B90FEE"/>
    <w:rsid w:val="00B911F6"/>
    <w:rsid w:val="00B9141F"/>
    <w:rsid w:val="00B914FA"/>
    <w:rsid w:val="00B91594"/>
    <w:rsid w:val="00B919A6"/>
    <w:rsid w:val="00B921B3"/>
    <w:rsid w:val="00B93E51"/>
    <w:rsid w:val="00B9423C"/>
    <w:rsid w:val="00B942FD"/>
    <w:rsid w:val="00B9468A"/>
    <w:rsid w:val="00B95382"/>
    <w:rsid w:val="00B9618D"/>
    <w:rsid w:val="00BA08EC"/>
    <w:rsid w:val="00BA13D4"/>
    <w:rsid w:val="00BA1502"/>
    <w:rsid w:val="00BA1512"/>
    <w:rsid w:val="00BA2D92"/>
    <w:rsid w:val="00BA34F6"/>
    <w:rsid w:val="00BA4028"/>
    <w:rsid w:val="00BA4C14"/>
    <w:rsid w:val="00BA53FC"/>
    <w:rsid w:val="00BA58EA"/>
    <w:rsid w:val="00BA5989"/>
    <w:rsid w:val="00BA609B"/>
    <w:rsid w:val="00BA61CA"/>
    <w:rsid w:val="00BA724E"/>
    <w:rsid w:val="00BA7555"/>
    <w:rsid w:val="00BA7D55"/>
    <w:rsid w:val="00BB0BC8"/>
    <w:rsid w:val="00BB0D0A"/>
    <w:rsid w:val="00BB1D9F"/>
    <w:rsid w:val="00BB20B0"/>
    <w:rsid w:val="00BB54D1"/>
    <w:rsid w:val="00BB6A9F"/>
    <w:rsid w:val="00BB6EF6"/>
    <w:rsid w:val="00BC0C89"/>
    <w:rsid w:val="00BC196F"/>
    <w:rsid w:val="00BC1EA9"/>
    <w:rsid w:val="00BC1F39"/>
    <w:rsid w:val="00BC1F5C"/>
    <w:rsid w:val="00BC34F7"/>
    <w:rsid w:val="00BC3748"/>
    <w:rsid w:val="00BC3965"/>
    <w:rsid w:val="00BC44B5"/>
    <w:rsid w:val="00BC4EF8"/>
    <w:rsid w:val="00BC5F15"/>
    <w:rsid w:val="00BC6A5F"/>
    <w:rsid w:val="00BC70EE"/>
    <w:rsid w:val="00BC7310"/>
    <w:rsid w:val="00BC7C9A"/>
    <w:rsid w:val="00BC7D09"/>
    <w:rsid w:val="00BD0412"/>
    <w:rsid w:val="00BD2F3B"/>
    <w:rsid w:val="00BD31E4"/>
    <w:rsid w:val="00BD3EDE"/>
    <w:rsid w:val="00BD519E"/>
    <w:rsid w:val="00BD5CA3"/>
    <w:rsid w:val="00BD692A"/>
    <w:rsid w:val="00BD6B1C"/>
    <w:rsid w:val="00BD6FBD"/>
    <w:rsid w:val="00BE0324"/>
    <w:rsid w:val="00BE1113"/>
    <w:rsid w:val="00BE25F8"/>
    <w:rsid w:val="00BE3D70"/>
    <w:rsid w:val="00BE47C1"/>
    <w:rsid w:val="00BE4CA0"/>
    <w:rsid w:val="00BE5560"/>
    <w:rsid w:val="00BE6EB7"/>
    <w:rsid w:val="00BE7065"/>
    <w:rsid w:val="00BE7299"/>
    <w:rsid w:val="00BE7581"/>
    <w:rsid w:val="00BF0BE0"/>
    <w:rsid w:val="00BF0E19"/>
    <w:rsid w:val="00BF1F73"/>
    <w:rsid w:val="00BF3F51"/>
    <w:rsid w:val="00BF4B26"/>
    <w:rsid w:val="00BF5954"/>
    <w:rsid w:val="00BF5B5A"/>
    <w:rsid w:val="00BF5B67"/>
    <w:rsid w:val="00BF61CC"/>
    <w:rsid w:val="00BF6B57"/>
    <w:rsid w:val="00C027B1"/>
    <w:rsid w:val="00C0295A"/>
    <w:rsid w:val="00C041FC"/>
    <w:rsid w:val="00C04DF2"/>
    <w:rsid w:val="00C066FF"/>
    <w:rsid w:val="00C1082C"/>
    <w:rsid w:val="00C115BC"/>
    <w:rsid w:val="00C11E4B"/>
    <w:rsid w:val="00C1202C"/>
    <w:rsid w:val="00C12093"/>
    <w:rsid w:val="00C123DA"/>
    <w:rsid w:val="00C12466"/>
    <w:rsid w:val="00C12604"/>
    <w:rsid w:val="00C12ED6"/>
    <w:rsid w:val="00C131BF"/>
    <w:rsid w:val="00C1350B"/>
    <w:rsid w:val="00C13644"/>
    <w:rsid w:val="00C13E3A"/>
    <w:rsid w:val="00C145A1"/>
    <w:rsid w:val="00C14EB5"/>
    <w:rsid w:val="00C16DF3"/>
    <w:rsid w:val="00C16E07"/>
    <w:rsid w:val="00C17C5C"/>
    <w:rsid w:val="00C2052A"/>
    <w:rsid w:val="00C214B2"/>
    <w:rsid w:val="00C2176A"/>
    <w:rsid w:val="00C22351"/>
    <w:rsid w:val="00C24228"/>
    <w:rsid w:val="00C24256"/>
    <w:rsid w:val="00C247AE"/>
    <w:rsid w:val="00C25A4E"/>
    <w:rsid w:val="00C25A84"/>
    <w:rsid w:val="00C26FB6"/>
    <w:rsid w:val="00C27574"/>
    <w:rsid w:val="00C30EE7"/>
    <w:rsid w:val="00C3107F"/>
    <w:rsid w:val="00C3152B"/>
    <w:rsid w:val="00C316A7"/>
    <w:rsid w:val="00C32755"/>
    <w:rsid w:val="00C328A8"/>
    <w:rsid w:val="00C32BE5"/>
    <w:rsid w:val="00C341B9"/>
    <w:rsid w:val="00C35767"/>
    <w:rsid w:val="00C36039"/>
    <w:rsid w:val="00C364D5"/>
    <w:rsid w:val="00C36E8B"/>
    <w:rsid w:val="00C36F7B"/>
    <w:rsid w:val="00C37D8E"/>
    <w:rsid w:val="00C40383"/>
    <w:rsid w:val="00C408AF"/>
    <w:rsid w:val="00C41281"/>
    <w:rsid w:val="00C41305"/>
    <w:rsid w:val="00C42352"/>
    <w:rsid w:val="00C42DE1"/>
    <w:rsid w:val="00C43300"/>
    <w:rsid w:val="00C4466B"/>
    <w:rsid w:val="00C44691"/>
    <w:rsid w:val="00C44F5B"/>
    <w:rsid w:val="00C472A6"/>
    <w:rsid w:val="00C504E2"/>
    <w:rsid w:val="00C50AB9"/>
    <w:rsid w:val="00C52586"/>
    <w:rsid w:val="00C5297C"/>
    <w:rsid w:val="00C52D98"/>
    <w:rsid w:val="00C52F57"/>
    <w:rsid w:val="00C5388C"/>
    <w:rsid w:val="00C555B0"/>
    <w:rsid w:val="00C558D1"/>
    <w:rsid w:val="00C56746"/>
    <w:rsid w:val="00C56D3C"/>
    <w:rsid w:val="00C5705F"/>
    <w:rsid w:val="00C57DA8"/>
    <w:rsid w:val="00C60B96"/>
    <w:rsid w:val="00C621D1"/>
    <w:rsid w:val="00C62616"/>
    <w:rsid w:val="00C6386E"/>
    <w:rsid w:val="00C63CD9"/>
    <w:rsid w:val="00C6435D"/>
    <w:rsid w:val="00C6478E"/>
    <w:rsid w:val="00C647E6"/>
    <w:rsid w:val="00C65985"/>
    <w:rsid w:val="00C71589"/>
    <w:rsid w:val="00C719DB"/>
    <w:rsid w:val="00C72220"/>
    <w:rsid w:val="00C7257E"/>
    <w:rsid w:val="00C72FEE"/>
    <w:rsid w:val="00C739DB"/>
    <w:rsid w:val="00C744F3"/>
    <w:rsid w:val="00C74D00"/>
    <w:rsid w:val="00C7522E"/>
    <w:rsid w:val="00C766F9"/>
    <w:rsid w:val="00C76A4A"/>
    <w:rsid w:val="00C76A4D"/>
    <w:rsid w:val="00C76D48"/>
    <w:rsid w:val="00C802B1"/>
    <w:rsid w:val="00C805F5"/>
    <w:rsid w:val="00C813B0"/>
    <w:rsid w:val="00C82225"/>
    <w:rsid w:val="00C82FD7"/>
    <w:rsid w:val="00C831B1"/>
    <w:rsid w:val="00C83756"/>
    <w:rsid w:val="00C83762"/>
    <w:rsid w:val="00C84708"/>
    <w:rsid w:val="00C8471D"/>
    <w:rsid w:val="00C85938"/>
    <w:rsid w:val="00C85DBE"/>
    <w:rsid w:val="00C86AA0"/>
    <w:rsid w:val="00C87BE9"/>
    <w:rsid w:val="00C920E3"/>
    <w:rsid w:val="00C928CE"/>
    <w:rsid w:val="00C9440D"/>
    <w:rsid w:val="00C9449D"/>
    <w:rsid w:val="00C94647"/>
    <w:rsid w:val="00C9471B"/>
    <w:rsid w:val="00C94C7A"/>
    <w:rsid w:val="00C954C6"/>
    <w:rsid w:val="00C96636"/>
    <w:rsid w:val="00CA01D3"/>
    <w:rsid w:val="00CA0F9B"/>
    <w:rsid w:val="00CA209E"/>
    <w:rsid w:val="00CA2EEE"/>
    <w:rsid w:val="00CA3D1D"/>
    <w:rsid w:val="00CA5F95"/>
    <w:rsid w:val="00CA60AC"/>
    <w:rsid w:val="00CA60E4"/>
    <w:rsid w:val="00CA6185"/>
    <w:rsid w:val="00CA71FB"/>
    <w:rsid w:val="00CA798E"/>
    <w:rsid w:val="00CB1F7E"/>
    <w:rsid w:val="00CB33EE"/>
    <w:rsid w:val="00CB4877"/>
    <w:rsid w:val="00CB5606"/>
    <w:rsid w:val="00CB58C5"/>
    <w:rsid w:val="00CB626B"/>
    <w:rsid w:val="00CC0D03"/>
    <w:rsid w:val="00CC0DC5"/>
    <w:rsid w:val="00CC1AD8"/>
    <w:rsid w:val="00CC1C8C"/>
    <w:rsid w:val="00CC1E59"/>
    <w:rsid w:val="00CC1EC8"/>
    <w:rsid w:val="00CC1FE1"/>
    <w:rsid w:val="00CC2EA0"/>
    <w:rsid w:val="00CC395A"/>
    <w:rsid w:val="00CC3B65"/>
    <w:rsid w:val="00CC5257"/>
    <w:rsid w:val="00CC54BD"/>
    <w:rsid w:val="00CC5917"/>
    <w:rsid w:val="00CC62E7"/>
    <w:rsid w:val="00CC6B36"/>
    <w:rsid w:val="00CC7F54"/>
    <w:rsid w:val="00CD03B1"/>
    <w:rsid w:val="00CD0C74"/>
    <w:rsid w:val="00CD1756"/>
    <w:rsid w:val="00CD181F"/>
    <w:rsid w:val="00CD1E32"/>
    <w:rsid w:val="00CD30B8"/>
    <w:rsid w:val="00CD580C"/>
    <w:rsid w:val="00CD5A29"/>
    <w:rsid w:val="00CD5ADE"/>
    <w:rsid w:val="00CD67B5"/>
    <w:rsid w:val="00CD7A27"/>
    <w:rsid w:val="00CE0B37"/>
    <w:rsid w:val="00CE1A9D"/>
    <w:rsid w:val="00CE1CDA"/>
    <w:rsid w:val="00CE226E"/>
    <w:rsid w:val="00CE243E"/>
    <w:rsid w:val="00CE2700"/>
    <w:rsid w:val="00CE37CE"/>
    <w:rsid w:val="00CE39E6"/>
    <w:rsid w:val="00CE3ADE"/>
    <w:rsid w:val="00CE6383"/>
    <w:rsid w:val="00CE6861"/>
    <w:rsid w:val="00CE6DB0"/>
    <w:rsid w:val="00CE7186"/>
    <w:rsid w:val="00CF0C69"/>
    <w:rsid w:val="00CF103A"/>
    <w:rsid w:val="00CF2483"/>
    <w:rsid w:val="00CF28E7"/>
    <w:rsid w:val="00CF34BA"/>
    <w:rsid w:val="00CF433B"/>
    <w:rsid w:val="00CF58E7"/>
    <w:rsid w:val="00CF6B46"/>
    <w:rsid w:val="00D01743"/>
    <w:rsid w:val="00D01A78"/>
    <w:rsid w:val="00D02197"/>
    <w:rsid w:val="00D03817"/>
    <w:rsid w:val="00D0396D"/>
    <w:rsid w:val="00D03ACF"/>
    <w:rsid w:val="00D03F42"/>
    <w:rsid w:val="00D04265"/>
    <w:rsid w:val="00D04C70"/>
    <w:rsid w:val="00D04E60"/>
    <w:rsid w:val="00D05B96"/>
    <w:rsid w:val="00D077DC"/>
    <w:rsid w:val="00D07CD6"/>
    <w:rsid w:val="00D07F08"/>
    <w:rsid w:val="00D10AD8"/>
    <w:rsid w:val="00D111FA"/>
    <w:rsid w:val="00D11531"/>
    <w:rsid w:val="00D129F8"/>
    <w:rsid w:val="00D131B8"/>
    <w:rsid w:val="00D13B3B"/>
    <w:rsid w:val="00D13E75"/>
    <w:rsid w:val="00D14B68"/>
    <w:rsid w:val="00D14E89"/>
    <w:rsid w:val="00D16191"/>
    <w:rsid w:val="00D162EB"/>
    <w:rsid w:val="00D17258"/>
    <w:rsid w:val="00D21866"/>
    <w:rsid w:val="00D21E1E"/>
    <w:rsid w:val="00D21FA8"/>
    <w:rsid w:val="00D2300E"/>
    <w:rsid w:val="00D23109"/>
    <w:rsid w:val="00D233F9"/>
    <w:rsid w:val="00D23774"/>
    <w:rsid w:val="00D24F6F"/>
    <w:rsid w:val="00D253E2"/>
    <w:rsid w:val="00D258C4"/>
    <w:rsid w:val="00D25A55"/>
    <w:rsid w:val="00D266B9"/>
    <w:rsid w:val="00D26E9D"/>
    <w:rsid w:val="00D2720F"/>
    <w:rsid w:val="00D2784B"/>
    <w:rsid w:val="00D30238"/>
    <w:rsid w:val="00D302E3"/>
    <w:rsid w:val="00D30300"/>
    <w:rsid w:val="00D30F3F"/>
    <w:rsid w:val="00D32008"/>
    <w:rsid w:val="00D32CC6"/>
    <w:rsid w:val="00D345FF"/>
    <w:rsid w:val="00D36B43"/>
    <w:rsid w:val="00D36C2B"/>
    <w:rsid w:val="00D36D30"/>
    <w:rsid w:val="00D403BB"/>
    <w:rsid w:val="00D40F11"/>
    <w:rsid w:val="00D416C3"/>
    <w:rsid w:val="00D42F51"/>
    <w:rsid w:val="00D432CD"/>
    <w:rsid w:val="00D43F0B"/>
    <w:rsid w:val="00D443DA"/>
    <w:rsid w:val="00D465E4"/>
    <w:rsid w:val="00D505E1"/>
    <w:rsid w:val="00D506A8"/>
    <w:rsid w:val="00D519BD"/>
    <w:rsid w:val="00D51FB6"/>
    <w:rsid w:val="00D51FFB"/>
    <w:rsid w:val="00D5204C"/>
    <w:rsid w:val="00D52FD3"/>
    <w:rsid w:val="00D54264"/>
    <w:rsid w:val="00D54F97"/>
    <w:rsid w:val="00D56231"/>
    <w:rsid w:val="00D6036F"/>
    <w:rsid w:val="00D60B50"/>
    <w:rsid w:val="00D61B20"/>
    <w:rsid w:val="00D647F6"/>
    <w:rsid w:val="00D64B6E"/>
    <w:rsid w:val="00D64CDA"/>
    <w:rsid w:val="00D64E61"/>
    <w:rsid w:val="00D6563A"/>
    <w:rsid w:val="00D66D34"/>
    <w:rsid w:val="00D66D99"/>
    <w:rsid w:val="00D67146"/>
    <w:rsid w:val="00D67211"/>
    <w:rsid w:val="00D70499"/>
    <w:rsid w:val="00D708BB"/>
    <w:rsid w:val="00D70CAF"/>
    <w:rsid w:val="00D7179E"/>
    <w:rsid w:val="00D71D89"/>
    <w:rsid w:val="00D72457"/>
    <w:rsid w:val="00D72AF4"/>
    <w:rsid w:val="00D72D81"/>
    <w:rsid w:val="00D74C88"/>
    <w:rsid w:val="00D7532A"/>
    <w:rsid w:val="00D75F3C"/>
    <w:rsid w:val="00D75FD7"/>
    <w:rsid w:val="00D76B1B"/>
    <w:rsid w:val="00D80368"/>
    <w:rsid w:val="00D80722"/>
    <w:rsid w:val="00D820F5"/>
    <w:rsid w:val="00D8242A"/>
    <w:rsid w:val="00D82A48"/>
    <w:rsid w:val="00D82EB4"/>
    <w:rsid w:val="00D83953"/>
    <w:rsid w:val="00D848CF"/>
    <w:rsid w:val="00D84F4A"/>
    <w:rsid w:val="00D85336"/>
    <w:rsid w:val="00D860F1"/>
    <w:rsid w:val="00D86155"/>
    <w:rsid w:val="00D870E1"/>
    <w:rsid w:val="00D90D38"/>
    <w:rsid w:val="00D91157"/>
    <w:rsid w:val="00D930F2"/>
    <w:rsid w:val="00D9369C"/>
    <w:rsid w:val="00D942C7"/>
    <w:rsid w:val="00D94357"/>
    <w:rsid w:val="00D9461F"/>
    <w:rsid w:val="00D956AA"/>
    <w:rsid w:val="00D970A6"/>
    <w:rsid w:val="00D970DB"/>
    <w:rsid w:val="00D979C6"/>
    <w:rsid w:val="00DA21D8"/>
    <w:rsid w:val="00DA24A0"/>
    <w:rsid w:val="00DA26FA"/>
    <w:rsid w:val="00DA29AE"/>
    <w:rsid w:val="00DA44F9"/>
    <w:rsid w:val="00DA62F5"/>
    <w:rsid w:val="00DA7544"/>
    <w:rsid w:val="00DB12C0"/>
    <w:rsid w:val="00DB1E11"/>
    <w:rsid w:val="00DB1EF1"/>
    <w:rsid w:val="00DB2BE0"/>
    <w:rsid w:val="00DB59BC"/>
    <w:rsid w:val="00DB730E"/>
    <w:rsid w:val="00DC0619"/>
    <w:rsid w:val="00DC0A74"/>
    <w:rsid w:val="00DC0AC1"/>
    <w:rsid w:val="00DC2514"/>
    <w:rsid w:val="00DC256C"/>
    <w:rsid w:val="00DC27E6"/>
    <w:rsid w:val="00DC2917"/>
    <w:rsid w:val="00DC2A9E"/>
    <w:rsid w:val="00DC3445"/>
    <w:rsid w:val="00DC3BC5"/>
    <w:rsid w:val="00DC5405"/>
    <w:rsid w:val="00DC5768"/>
    <w:rsid w:val="00DC59DD"/>
    <w:rsid w:val="00DC62A6"/>
    <w:rsid w:val="00DC6ED5"/>
    <w:rsid w:val="00DC762A"/>
    <w:rsid w:val="00DD025A"/>
    <w:rsid w:val="00DD07C5"/>
    <w:rsid w:val="00DD0AEA"/>
    <w:rsid w:val="00DD1785"/>
    <w:rsid w:val="00DD2046"/>
    <w:rsid w:val="00DD28B9"/>
    <w:rsid w:val="00DD4E9A"/>
    <w:rsid w:val="00DD5DE8"/>
    <w:rsid w:val="00DD630C"/>
    <w:rsid w:val="00DE2279"/>
    <w:rsid w:val="00DE2285"/>
    <w:rsid w:val="00DE4BFE"/>
    <w:rsid w:val="00DE5836"/>
    <w:rsid w:val="00DE625E"/>
    <w:rsid w:val="00DE6580"/>
    <w:rsid w:val="00DE6E6C"/>
    <w:rsid w:val="00DE7E38"/>
    <w:rsid w:val="00DF0D7C"/>
    <w:rsid w:val="00DF0FB2"/>
    <w:rsid w:val="00DF15AA"/>
    <w:rsid w:val="00DF1B0A"/>
    <w:rsid w:val="00DF1D12"/>
    <w:rsid w:val="00DF4AD7"/>
    <w:rsid w:val="00DF70C6"/>
    <w:rsid w:val="00DF720B"/>
    <w:rsid w:val="00DF7395"/>
    <w:rsid w:val="00DF77E0"/>
    <w:rsid w:val="00DF7B3C"/>
    <w:rsid w:val="00E0143C"/>
    <w:rsid w:val="00E01767"/>
    <w:rsid w:val="00E01892"/>
    <w:rsid w:val="00E01D17"/>
    <w:rsid w:val="00E02778"/>
    <w:rsid w:val="00E02B87"/>
    <w:rsid w:val="00E02C52"/>
    <w:rsid w:val="00E02CEF"/>
    <w:rsid w:val="00E033BA"/>
    <w:rsid w:val="00E03625"/>
    <w:rsid w:val="00E03879"/>
    <w:rsid w:val="00E03DE7"/>
    <w:rsid w:val="00E04018"/>
    <w:rsid w:val="00E04765"/>
    <w:rsid w:val="00E05004"/>
    <w:rsid w:val="00E050A2"/>
    <w:rsid w:val="00E05841"/>
    <w:rsid w:val="00E05854"/>
    <w:rsid w:val="00E06064"/>
    <w:rsid w:val="00E07799"/>
    <w:rsid w:val="00E07AE2"/>
    <w:rsid w:val="00E1003E"/>
    <w:rsid w:val="00E1016E"/>
    <w:rsid w:val="00E10A42"/>
    <w:rsid w:val="00E1139D"/>
    <w:rsid w:val="00E114CB"/>
    <w:rsid w:val="00E11AEC"/>
    <w:rsid w:val="00E11C50"/>
    <w:rsid w:val="00E1239B"/>
    <w:rsid w:val="00E12873"/>
    <w:rsid w:val="00E12F9C"/>
    <w:rsid w:val="00E140C4"/>
    <w:rsid w:val="00E14CF4"/>
    <w:rsid w:val="00E15466"/>
    <w:rsid w:val="00E15533"/>
    <w:rsid w:val="00E160B9"/>
    <w:rsid w:val="00E16DC0"/>
    <w:rsid w:val="00E171D1"/>
    <w:rsid w:val="00E1792B"/>
    <w:rsid w:val="00E17D81"/>
    <w:rsid w:val="00E20576"/>
    <w:rsid w:val="00E20780"/>
    <w:rsid w:val="00E20BDC"/>
    <w:rsid w:val="00E211D6"/>
    <w:rsid w:val="00E23F60"/>
    <w:rsid w:val="00E24C37"/>
    <w:rsid w:val="00E24DFB"/>
    <w:rsid w:val="00E27F2F"/>
    <w:rsid w:val="00E318DD"/>
    <w:rsid w:val="00E319B3"/>
    <w:rsid w:val="00E31F90"/>
    <w:rsid w:val="00E325B9"/>
    <w:rsid w:val="00E32697"/>
    <w:rsid w:val="00E336BB"/>
    <w:rsid w:val="00E34F9F"/>
    <w:rsid w:val="00E35BE8"/>
    <w:rsid w:val="00E35CAC"/>
    <w:rsid w:val="00E36625"/>
    <w:rsid w:val="00E36FA7"/>
    <w:rsid w:val="00E3710D"/>
    <w:rsid w:val="00E40D8F"/>
    <w:rsid w:val="00E42A10"/>
    <w:rsid w:val="00E4350F"/>
    <w:rsid w:val="00E441DB"/>
    <w:rsid w:val="00E44784"/>
    <w:rsid w:val="00E4500E"/>
    <w:rsid w:val="00E459BF"/>
    <w:rsid w:val="00E45DDC"/>
    <w:rsid w:val="00E465CB"/>
    <w:rsid w:val="00E46622"/>
    <w:rsid w:val="00E46A03"/>
    <w:rsid w:val="00E514D9"/>
    <w:rsid w:val="00E51710"/>
    <w:rsid w:val="00E51740"/>
    <w:rsid w:val="00E54019"/>
    <w:rsid w:val="00E542A9"/>
    <w:rsid w:val="00E55A45"/>
    <w:rsid w:val="00E56C0C"/>
    <w:rsid w:val="00E617FF"/>
    <w:rsid w:val="00E61D74"/>
    <w:rsid w:val="00E626EA"/>
    <w:rsid w:val="00E63AA7"/>
    <w:rsid w:val="00E6486E"/>
    <w:rsid w:val="00E652F7"/>
    <w:rsid w:val="00E65E0A"/>
    <w:rsid w:val="00E66D86"/>
    <w:rsid w:val="00E67310"/>
    <w:rsid w:val="00E67453"/>
    <w:rsid w:val="00E67547"/>
    <w:rsid w:val="00E67978"/>
    <w:rsid w:val="00E67FBB"/>
    <w:rsid w:val="00E7040A"/>
    <w:rsid w:val="00E70843"/>
    <w:rsid w:val="00E70EF9"/>
    <w:rsid w:val="00E72739"/>
    <w:rsid w:val="00E73438"/>
    <w:rsid w:val="00E73AF7"/>
    <w:rsid w:val="00E73B73"/>
    <w:rsid w:val="00E7521F"/>
    <w:rsid w:val="00E759EF"/>
    <w:rsid w:val="00E770BF"/>
    <w:rsid w:val="00E770DE"/>
    <w:rsid w:val="00E77A9E"/>
    <w:rsid w:val="00E77EE6"/>
    <w:rsid w:val="00E77F46"/>
    <w:rsid w:val="00E80394"/>
    <w:rsid w:val="00E8051C"/>
    <w:rsid w:val="00E81D24"/>
    <w:rsid w:val="00E81EC8"/>
    <w:rsid w:val="00E84F89"/>
    <w:rsid w:val="00E90689"/>
    <w:rsid w:val="00E90EB5"/>
    <w:rsid w:val="00E91EEA"/>
    <w:rsid w:val="00E93024"/>
    <w:rsid w:val="00E93FB5"/>
    <w:rsid w:val="00E94A23"/>
    <w:rsid w:val="00E976C1"/>
    <w:rsid w:val="00E97BF6"/>
    <w:rsid w:val="00E97CD4"/>
    <w:rsid w:val="00E97F7F"/>
    <w:rsid w:val="00EA11CD"/>
    <w:rsid w:val="00EA1950"/>
    <w:rsid w:val="00EA1FEA"/>
    <w:rsid w:val="00EA2A7F"/>
    <w:rsid w:val="00EA2AC3"/>
    <w:rsid w:val="00EA30EC"/>
    <w:rsid w:val="00EA47E1"/>
    <w:rsid w:val="00EA64E8"/>
    <w:rsid w:val="00EA6788"/>
    <w:rsid w:val="00EA7C65"/>
    <w:rsid w:val="00EA7D21"/>
    <w:rsid w:val="00EB00CF"/>
    <w:rsid w:val="00EB0319"/>
    <w:rsid w:val="00EB20C4"/>
    <w:rsid w:val="00EB3381"/>
    <w:rsid w:val="00EB460B"/>
    <w:rsid w:val="00EB6D36"/>
    <w:rsid w:val="00EC1C76"/>
    <w:rsid w:val="00EC1E7E"/>
    <w:rsid w:val="00EC2E5D"/>
    <w:rsid w:val="00EC320A"/>
    <w:rsid w:val="00EC3C36"/>
    <w:rsid w:val="00EC3C96"/>
    <w:rsid w:val="00EC55E5"/>
    <w:rsid w:val="00EC6867"/>
    <w:rsid w:val="00EC6FB6"/>
    <w:rsid w:val="00EC7259"/>
    <w:rsid w:val="00ED045E"/>
    <w:rsid w:val="00ED0C3F"/>
    <w:rsid w:val="00ED17BE"/>
    <w:rsid w:val="00ED18DC"/>
    <w:rsid w:val="00ED3BD4"/>
    <w:rsid w:val="00ED4055"/>
    <w:rsid w:val="00ED43EA"/>
    <w:rsid w:val="00ED5054"/>
    <w:rsid w:val="00ED5843"/>
    <w:rsid w:val="00ED6470"/>
    <w:rsid w:val="00ED7707"/>
    <w:rsid w:val="00EE064E"/>
    <w:rsid w:val="00EE1074"/>
    <w:rsid w:val="00EE50D2"/>
    <w:rsid w:val="00EE6371"/>
    <w:rsid w:val="00EE7288"/>
    <w:rsid w:val="00EF0526"/>
    <w:rsid w:val="00EF17BC"/>
    <w:rsid w:val="00EF21A2"/>
    <w:rsid w:val="00EF36C9"/>
    <w:rsid w:val="00EF3C45"/>
    <w:rsid w:val="00EF4BFE"/>
    <w:rsid w:val="00EF52D8"/>
    <w:rsid w:val="00EF55B9"/>
    <w:rsid w:val="00EF6CB9"/>
    <w:rsid w:val="00EF79A2"/>
    <w:rsid w:val="00EF7DB0"/>
    <w:rsid w:val="00F00A06"/>
    <w:rsid w:val="00F013DD"/>
    <w:rsid w:val="00F013F0"/>
    <w:rsid w:val="00F01400"/>
    <w:rsid w:val="00F02348"/>
    <w:rsid w:val="00F04360"/>
    <w:rsid w:val="00F0473D"/>
    <w:rsid w:val="00F04753"/>
    <w:rsid w:val="00F048AE"/>
    <w:rsid w:val="00F06422"/>
    <w:rsid w:val="00F06FD4"/>
    <w:rsid w:val="00F10DD9"/>
    <w:rsid w:val="00F11511"/>
    <w:rsid w:val="00F11A81"/>
    <w:rsid w:val="00F132F2"/>
    <w:rsid w:val="00F1379F"/>
    <w:rsid w:val="00F13BFD"/>
    <w:rsid w:val="00F1450F"/>
    <w:rsid w:val="00F149C3"/>
    <w:rsid w:val="00F14EC7"/>
    <w:rsid w:val="00F16B43"/>
    <w:rsid w:val="00F1713C"/>
    <w:rsid w:val="00F17901"/>
    <w:rsid w:val="00F17FAD"/>
    <w:rsid w:val="00F204DE"/>
    <w:rsid w:val="00F23572"/>
    <w:rsid w:val="00F23688"/>
    <w:rsid w:val="00F23F14"/>
    <w:rsid w:val="00F25C6A"/>
    <w:rsid w:val="00F26501"/>
    <w:rsid w:val="00F26BF9"/>
    <w:rsid w:val="00F26EA4"/>
    <w:rsid w:val="00F26EE6"/>
    <w:rsid w:val="00F27A67"/>
    <w:rsid w:val="00F30874"/>
    <w:rsid w:val="00F30ACE"/>
    <w:rsid w:val="00F30C46"/>
    <w:rsid w:val="00F3129C"/>
    <w:rsid w:val="00F316B1"/>
    <w:rsid w:val="00F316C2"/>
    <w:rsid w:val="00F3198E"/>
    <w:rsid w:val="00F31EC4"/>
    <w:rsid w:val="00F31FAA"/>
    <w:rsid w:val="00F328E6"/>
    <w:rsid w:val="00F33210"/>
    <w:rsid w:val="00F33AED"/>
    <w:rsid w:val="00F34605"/>
    <w:rsid w:val="00F34B93"/>
    <w:rsid w:val="00F35302"/>
    <w:rsid w:val="00F36499"/>
    <w:rsid w:val="00F372D6"/>
    <w:rsid w:val="00F41354"/>
    <w:rsid w:val="00F422CB"/>
    <w:rsid w:val="00F43117"/>
    <w:rsid w:val="00F43680"/>
    <w:rsid w:val="00F43D28"/>
    <w:rsid w:val="00F45F5D"/>
    <w:rsid w:val="00F467F2"/>
    <w:rsid w:val="00F46D66"/>
    <w:rsid w:val="00F46E62"/>
    <w:rsid w:val="00F46F41"/>
    <w:rsid w:val="00F4774B"/>
    <w:rsid w:val="00F5098C"/>
    <w:rsid w:val="00F5272D"/>
    <w:rsid w:val="00F534CC"/>
    <w:rsid w:val="00F547B2"/>
    <w:rsid w:val="00F54981"/>
    <w:rsid w:val="00F55AA3"/>
    <w:rsid w:val="00F55C53"/>
    <w:rsid w:val="00F57F59"/>
    <w:rsid w:val="00F601C8"/>
    <w:rsid w:val="00F607FB"/>
    <w:rsid w:val="00F60DAC"/>
    <w:rsid w:val="00F61242"/>
    <w:rsid w:val="00F616BA"/>
    <w:rsid w:val="00F623CF"/>
    <w:rsid w:val="00F62A4C"/>
    <w:rsid w:val="00F63356"/>
    <w:rsid w:val="00F63D65"/>
    <w:rsid w:val="00F6480C"/>
    <w:rsid w:val="00F651C4"/>
    <w:rsid w:val="00F65323"/>
    <w:rsid w:val="00F657F9"/>
    <w:rsid w:val="00F65D9A"/>
    <w:rsid w:val="00F65DE9"/>
    <w:rsid w:val="00F6739F"/>
    <w:rsid w:val="00F67814"/>
    <w:rsid w:val="00F67C70"/>
    <w:rsid w:val="00F67EF9"/>
    <w:rsid w:val="00F70081"/>
    <w:rsid w:val="00F7101B"/>
    <w:rsid w:val="00F73157"/>
    <w:rsid w:val="00F738E6"/>
    <w:rsid w:val="00F739F3"/>
    <w:rsid w:val="00F73EBC"/>
    <w:rsid w:val="00F740CF"/>
    <w:rsid w:val="00F75752"/>
    <w:rsid w:val="00F75F3F"/>
    <w:rsid w:val="00F769E5"/>
    <w:rsid w:val="00F76ED7"/>
    <w:rsid w:val="00F77497"/>
    <w:rsid w:val="00F77B06"/>
    <w:rsid w:val="00F84DB3"/>
    <w:rsid w:val="00F853DC"/>
    <w:rsid w:val="00F85552"/>
    <w:rsid w:val="00F85636"/>
    <w:rsid w:val="00F856D2"/>
    <w:rsid w:val="00F86215"/>
    <w:rsid w:val="00F86DCF"/>
    <w:rsid w:val="00F877FD"/>
    <w:rsid w:val="00F916B2"/>
    <w:rsid w:val="00F92A1B"/>
    <w:rsid w:val="00F92AA4"/>
    <w:rsid w:val="00F94316"/>
    <w:rsid w:val="00F94676"/>
    <w:rsid w:val="00F949B7"/>
    <w:rsid w:val="00F94D0E"/>
    <w:rsid w:val="00F94DD5"/>
    <w:rsid w:val="00F9616E"/>
    <w:rsid w:val="00F971DE"/>
    <w:rsid w:val="00F9727C"/>
    <w:rsid w:val="00F97420"/>
    <w:rsid w:val="00F9798E"/>
    <w:rsid w:val="00F979DE"/>
    <w:rsid w:val="00FA0156"/>
    <w:rsid w:val="00FA21A2"/>
    <w:rsid w:val="00FA2B48"/>
    <w:rsid w:val="00FA40A0"/>
    <w:rsid w:val="00FB10B0"/>
    <w:rsid w:val="00FB1788"/>
    <w:rsid w:val="00FB2500"/>
    <w:rsid w:val="00FB3778"/>
    <w:rsid w:val="00FB3FAC"/>
    <w:rsid w:val="00FB6403"/>
    <w:rsid w:val="00FB66C7"/>
    <w:rsid w:val="00FB77E1"/>
    <w:rsid w:val="00FC0F07"/>
    <w:rsid w:val="00FC15A8"/>
    <w:rsid w:val="00FC2D79"/>
    <w:rsid w:val="00FC3566"/>
    <w:rsid w:val="00FC3A9A"/>
    <w:rsid w:val="00FC4446"/>
    <w:rsid w:val="00FC584E"/>
    <w:rsid w:val="00FC64C4"/>
    <w:rsid w:val="00FC729A"/>
    <w:rsid w:val="00FD0F26"/>
    <w:rsid w:val="00FD169A"/>
    <w:rsid w:val="00FD2AD0"/>
    <w:rsid w:val="00FD3083"/>
    <w:rsid w:val="00FD3305"/>
    <w:rsid w:val="00FD3678"/>
    <w:rsid w:val="00FD72D6"/>
    <w:rsid w:val="00FE03F1"/>
    <w:rsid w:val="00FE3277"/>
    <w:rsid w:val="00FE41E3"/>
    <w:rsid w:val="00FE4D06"/>
    <w:rsid w:val="00FE6BA0"/>
    <w:rsid w:val="00FE7F19"/>
    <w:rsid w:val="00FF15AA"/>
    <w:rsid w:val="00FF22BC"/>
    <w:rsid w:val="00FF49C7"/>
    <w:rsid w:val="00FF65BE"/>
    <w:rsid w:val="00FF6875"/>
    <w:rsid w:val="00FF78A3"/>
    <w:rsid w:val="00FF7C1B"/>
    <w:rsid w:val="00FF7CEF"/>
    <w:rsid w:val="011C382D"/>
    <w:rsid w:val="01342D3D"/>
    <w:rsid w:val="019C7831"/>
    <w:rsid w:val="01A71A36"/>
    <w:rsid w:val="021C650C"/>
    <w:rsid w:val="040D3877"/>
    <w:rsid w:val="042C131D"/>
    <w:rsid w:val="059C28CB"/>
    <w:rsid w:val="05D83DB5"/>
    <w:rsid w:val="0739215D"/>
    <w:rsid w:val="08B209E5"/>
    <w:rsid w:val="0A9A2AB4"/>
    <w:rsid w:val="0CCE4BEE"/>
    <w:rsid w:val="0D2E742C"/>
    <w:rsid w:val="0DBF79BE"/>
    <w:rsid w:val="0E3C6F9F"/>
    <w:rsid w:val="0EA93E3E"/>
    <w:rsid w:val="10002F13"/>
    <w:rsid w:val="1056405D"/>
    <w:rsid w:val="11F33004"/>
    <w:rsid w:val="123F7B78"/>
    <w:rsid w:val="12700A97"/>
    <w:rsid w:val="12957F52"/>
    <w:rsid w:val="12B24BB0"/>
    <w:rsid w:val="13A73532"/>
    <w:rsid w:val="14C17DDE"/>
    <w:rsid w:val="15442C5F"/>
    <w:rsid w:val="16EC070D"/>
    <w:rsid w:val="17DD546D"/>
    <w:rsid w:val="19EC54DE"/>
    <w:rsid w:val="1A0C68A9"/>
    <w:rsid w:val="1B3F476C"/>
    <w:rsid w:val="1BB37965"/>
    <w:rsid w:val="1D2F562A"/>
    <w:rsid w:val="1DED2B36"/>
    <w:rsid w:val="1E2B4061"/>
    <w:rsid w:val="1F381054"/>
    <w:rsid w:val="1FB62C6F"/>
    <w:rsid w:val="1FDC04DD"/>
    <w:rsid w:val="20610E21"/>
    <w:rsid w:val="206464CE"/>
    <w:rsid w:val="217C7F88"/>
    <w:rsid w:val="219521EB"/>
    <w:rsid w:val="21B40D93"/>
    <w:rsid w:val="227E52E5"/>
    <w:rsid w:val="23FD6E89"/>
    <w:rsid w:val="244672FF"/>
    <w:rsid w:val="257944F5"/>
    <w:rsid w:val="25FA5833"/>
    <w:rsid w:val="2680660D"/>
    <w:rsid w:val="2720387F"/>
    <w:rsid w:val="28D221D0"/>
    <w:rsid w:val="29094B72"/>
    <w:rsid w:val="299A71A7"/>
    <w:rsid w:val="29D763B9"/>
    <w:rsid w:val="2A6C506A"/>
    <w:rsid w:val="2B240076"/>
    <w:rsid w:val="2BA226AF"/>
    <w:rsid w:val="2C221A3C"/>
    <w:rsid w:val="2C8554A9"/>
    <w:rsid w:val="2CD81B82"/>
    <w:rsid w:val="302F00D8"/>
    <w:rsid w:val="30BE1785"/>
    <w:rsid w:val="315F7897"/>
    <w:rsid w:val="31AF08B2"/>
    <w:rsid w:val="321C58D9"/>
    <w:rsid w:val="32843946"/>
    <w:rsid w:val="33123350"/>
    <w:rsid w:val="34A572F7"/>
    <w:rsid w:val="34F617B5"/>
    <w:rsid w:val="36274B9C"/>
    <w:rsid w:val="37F46B58"/>
    <w:rsid w:val="384A297D"/>
    <w:rsid w:val="395B07D0"/>
    <w:rsid w:val="398B45F4"/>
    <w:rsid w:val="39C52049"/>
    <w:rsid w:val="39C7271D"/>
    <w:rsid w:val="39DC7DF2"/>
    <w:rsid w:val="3AAB3B93"/>
    <w:rsid w:val="3AF060C7"/>
    <w:rsid w:val="3B4B6F9C"/>
    <w:rsid w:val="41C545C5"/>
    <w:rsid w:val="41DF256F"/>
    <w:rsid w:val="42073A25"/>
    <w:rsid w:val="42B623AB"/>
    <w:rsid w:val="43525E5C"/>
    <w:rsid w:val="43915047"/>
    <w:rsid w:val="44C60A40"/>
    <w:rsid w:val="462130BB"/>
    <w:rsid w:val="47DC2BBF"/>
    <w:rsid w:val="47E20C5F"/>
    <w:rsid w:val="492B2E6F"/>
    <w:rsid w:val="4A096643"/>
    <w:rsid w:val="4F7D1369"/>
    <w:rsid w:val="4F901C70"/>
    <w:rsid w:val="501E5109"/>
    <w:rsid w:val="53535352"/>
    <w:rsid w:val="54F30612"/>
    <w:rsid w:val="56C250C6"/>
    <w:rsid w:val="58C17095"/>
    <w:rsid w:val="59562E7D"/>
    <w:rsid w:val="5B1C2B7A"/>
    <w:rsid w:val="5C01441E"/>
    <w:rsid w:val="5C3B4329"/>
    <w:rsid w:val="5D7415CC"/>
    <w:rsid w:val="5E204800"/>
    <w:rsid w:val="5EA03A93"/>
    <w:rsid w:val="60861CCA"/>
    <w:rsid w:val="62DA5996"/>
    <w:rsid w:val="630E3E0E"/>
    <w:rsid w:val="64C33FC6"/>
    <w:rsid w:val="65163B8C"/>
    <w:rsid w:val="65602CB0"/>
    <w:rsid w:val="65976CF9"/>
    <w:rsid w:val="65BD0129"/>
    <w:rsid w:val="65DF7717"/>
    <w:rsid w:val="65E06684"/>
    <w:rsid w:val="6685540E"/>
    <w:rsid w:val="676236F6"/>
    <w:rsid w:val="692A2340"/>
    <w:rsid w:val="6AFD4034"/>
    <w:rsid w:val="6BF95137"/>
    <w:rsid w:val="6CA44515"/>
    <w:rsid w:val="6DCE3FAD"/>
    <w:rsid w:val="6DE77002"/>
    <w:rsid w:val="6E200C75"/>
    <w:rsid w:val="6E423A42"/>
    <w:rsid w:val="6E8656A1"/>
    <w:rsid w:val="6F0C2AC5"/>
    <w:rsid w:val="6FF02FF0"/>
    <w:rsid w:val="70983100"/>
    <w:rsid w:val="70E14EC9"/>
    <w:rsid w:val="715F1117"/>
    <w:rsid w:val="72660058"/>
    <w:rsid w:val="736940F3"/>
    <w:rsid w:val="743E6713"/>
    <w:rsid w:val="76B44527"/>
    <w:rsid w:val="76EA075F"/>
    <w:rsid w:val="772127DF"/>
    <w:rsid w:val="78540DB1"/>
    <w:rsid w:val="78AE42AF"/>
    <w:rsid w:val="79A00C21"/>
    <w:rsid w:val="7AE81CA3"/>
    <w:rsid w:val="7B25111A"/>
    <w:rsid w:val="7BCC3A00"/>
    <w:rsid w:val="7CA828B6"/>
    <w:rsid w:val="7DEF2CF0"/>
    <w:rsid w:val="7FB2628F"/>
    <w:rsid w:val="7FD939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39" w:semiHidden="0" w:name="toc 2"/>
    <w:lsdException w:uiPriority="0" w:name="toc 3"/>
    <w:lsdException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8"/>
    <w:qFormat/>
    <w:locked/>
    <w:uiPriority w:val="0"/>
    <w:pPr>
      <w:keepNext/>
      <w:keepLines/>
      <w:spacing w:before="340" w:after="330" w:line="578" w:lineRule="auto"/>
      <w:outlineLvl w:val="0"/>
    </w:pPr>
    <w:rPr>
      <w:b/>
      <w:bCs/>
      <w:kern w:val="44"/>
      <w:sz w:val="44"/>
      <w:szCs w:val="44"/>
    </w:rPr>
  </w:style>
  <w:style w:type="paragraph" w:styleId="5">
    <w:name w:val="heading 2"/>
    <w:basedOn w:val="1"/>
    <w:next w:val="1"/>
    <w:link w:val="42"/>
    <w:qFormat/>
    <w:uiPriority w:val="0"/>
    <w:pPr>
      <w:keepNext/>
      <w:keepLines/>
      <w:spacing w:line="360" w:lineRule="auto"/>
      <w:outlineLvl w:val="1"/>
    </w:pPr>
    <w:rPr>
      <w:rFonts w:ascii="黑体" w:hAnsi="黑体" w:eastAsia="黑体"/>
      <w:b/>
      <w:bCs/>
      <w:color w:val="000000"/>
      <w:sz w:val="30"/>
      <w:szCs w:val="30"/>
    </w:rPr>
  </w:style>
  <w:style w:type="paragraph" w:styleId="6">
    <w:name w:val="heading 3"/>
    <w:basedOn w:val="1"/>
    <w:next w:val="1"/>
    <w:link w:val="55"/>
    <w:qFormat/>
    <w:locked/>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link w:val="54"/>
    <w:qFormat/>
    <w:uiPriority w:val="0"/>
    <w:pPr>
      <w:spacing w:line="460" w:lineRule="atLeast"/>
      <w:ind w:firstLine="510"/>
    </w:pPr>
    <w:rPr>
      <w:sz w:val="24"/>
      <w:szCs w:val="20"/>
    </w:rPr>
  </w:style>
  <w:style w:type="paragraph" w:styleId="8">
    <w:name w:val="caption"/>
    <w:basedOn w:val="1"/>
    <w:next w:val="1"/>
    <w:qFormat/>
    <w:locked/>
    <w:uiPriority w:val="0"/>
    <w:rPr>
      <w:rFonts w:ascii="Cambria" w:hAnsi="Cambria" w:eastAsia="黑体"/>
      <w:sz w:val="20"/>
      <w:szCs w:val="20"/>
    </w:rPr>
  </w:style>
  <w:style w:type="paragraph" w:styleId="9">
    <w:name w:val="Document Map"/>
    <w:basedOn w:val="1"/>
    <w:link w:val="37"/>
    <w:qFormat/>
    <w:uiPriority w:val="0"/>
    <w:rPr>
      <w:rFonts w:ascii="宋体"/>
      <w:sz w:val="18"/>
      <w:szCs w:val="18"/>
    </w:rPr>
  </w:style>
  <w:style w:type="paragraph" w:styleId="10">
    <w:name w:val="annotation text"/>
    <w:basedOn w:val="1"/>
    <w:link w:val="52"/>
    <w:qFormat/>
    <w:uiPriority w:val="0"/>
    <w:pPr>
      <w:jc w:val="left"/>
    </w:pPr>
  </w:style>
  <w:style w:type="paragraph" w:styleId="11">
    <w:name w:val="Body Text"/>
    <w:basedOn w:val="1"/>
    <w:qFormat/>
    <w:uiPriority w:val="0"/>
    <w:rPr>
      <w:sz w:val="24"/>
      <w:szCs w:val="20"/>
    </w:rPr>
  </w:style>
  <w:style w:type="paragraph" w:styleId="12">
    <w:name w:val="Plain Text"/>
    <w:basedOn w:val="1"/>
    <w:link w:val="104"/>
    <w:qFormat/>
    <w:uiPriority w:val="0"/>
    <w:rPr>
      <w:rFonts w:ascii="宋体" w:hAnsi="Courier New"/>
      <w:sz w:val="28"/>
      <w:szCs w:val="22"/>
    </w:rPr>
  </w:style>
  <w:style w:type="paragraph" w:styleId="13">
    <w:name w:val="List Bullet 5"/>
    <w:basedOn w:val="1"/>
    <w:qFormat/>
    <w:uiPriority w:val="0"/>
    <w:pPr>
      <w:tabs>
        <w:tab w:val="left" w:pos="2040"/>
      </w:tabs>
      <w:ind w:left="2040" w:hanging="360"/>
    </w:pPr>
  </w:style>
  <w:style w:type="paragraph" w:styleId="14">
    <w:name w:val="Body Text Indent 2"/>
    <w:basedOn w:val="1"/>
    <w:qFormat/>
    <w:uiPriority w:val="0"/>
    <w:pPr>
      <w:ind w:firstLine="564"/>
    </w:pPr>
    <w:rPr>
      <w:rFonts w:ascii="仿宋_GB2312" w:eastAsia="仿宋_GB2312"/>
      <w:sz w:val="28"/>
      <w:szCs w:val="20"/>
    </w:rPr>
  </w:style>
  <w:style w:type="paragraph" w:styleId="15">
    <w:name w:val="Balloon Text"/>
    <w:basedOn w:val="1"/>
    <w:link w:val="43"/>
    <w:qFormat/>
    <w:uiPriority w:val="0"/>
    <w:rPr>
      <w:sz w:val="18"/>
      <w:szCs w:val="18"/>
    </w:rPr>
  </w:style>
  <w:style w:type="paragraph" w:styleId="16">
    <w:name w:val="footer"/>
    <w:basedOn w:val="1"/>
    <w:link w:val="83"/>
    <w:qFormat/>
    <w:uiPriority w:val="0"/>
    <w:pPr>
      <w:tabs>
        <w:tab w:val="center" w:pos="4153"/>
        <w:tab w:val="right" w:pos="8306"/>
      </w:tabs>
      <w:snapToGrid w:val="0"/>
      <w:jc w:val="left"/>
    </w:pPr>
    <w:rPr>
      <w:sz w:val="18"/>
      <w:szCs w:val="18"/>
    </w:rPr>
  </w:style>
  <w:style w:type="paragraph" w:styleId="17">
    <w:name w:val="header"/>
    <w:basedOn w:val="1"/>
    <w:link w:val="46"/>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Subtitle"/>
    <w:basedOn w:val="1"/>
    <w:next w:val="1"/>
    <w:link w:val="41"/>
    <w:qFormat/>
    <w:locked/>
    <w:uiPriority w:val="0"/>
    <w:pPr>
      <w:spacing w:before="240" w:after="60" w:line="312" w:lineRule="auto"/>
      <w:jc w:val="center"/>
      <w:outlineLvl w:val="1"/>
    </w:pPr>
    <w:rPr>
      <w:rFonts w:ascii="Cambria" w:hAnsi="Cambria"/>
      <w:b/>
      <w:bCs/>
      <w:kern w:val="28"/>
      <w:sz w:val="24"/>
      <w:szCs w:val="32"/>
    </w:rPr>
  </w:style>
  <w:style w:type="paragraph" w:styleId="20">
    <w:name w:val="toc 6"/>
    <w:basedOn w:val="1"/>
    <w:next w:val="1"/>
    <w:qFormat/>
    <w:uiPriority w:val="0"/>
    <w:pPr>
      <w:ind w:left="2100" w:leftChars="1000"/>
    </w:pPr>
  </w:style>
  <w:style w:type="paragraph" w:styleId="21">
    <w:name w:val="Body Text Indent 3"/>
    <w:basedOn w:val="1"/>
    <w:qFormat/>
    <w:uiPriority w:val="0"/>
    <w:pPr>
      <w:spacing w:line="400" w:lineRule="exact"/>
      <w:ind w:firstLine="518" w:firstLineChars="185"/>
    </w:pPr>
    <w:rPr>
      <w:rFonts w:ascii="仿宋_GB2312" w:eastAsia="仿宋_GB2312"/>
      <w:sz w:val="28"/>
      <w:szCs w:val="20"/>
    </w:rPr>
  </w:style>
  <w:style w:type="paragraph" w:styleId="22">
    <w:name w:val="toc 2"/>
    <w:basedOn w:val="1"/>
    <w:next w:val="1"/>
    <w:qFormat/>
    <w:uiPriority w:val="39"/>
    <w:pPr>
      <w:ind w:left="420" w:leftChars="200"/>
    </w:pPr>
  </w:style>
  <w:style w:type="paragraph" w:styleId="23">
    <w:name w:val="Body Text 2"/>
    <w:basedOn w:val="1"/>
    <w:link w:val="106"/>
    <w:unhideWhenUsed/>
    <w:qFormat/>
    <w:uiPriority w:val="0"/>
    <w:pPr>
      <w:spacing w:after="120" w:line="480" w:lineRule="auto"/>
    </w:pPr>
  </w:style>
  <w:style w:type="paragraph" w:styleId="24">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5">
    <w:name w:val="index 1"/>
    <w:basedOn w:val="1"/>
    <w:next w:val="1"/>
    <w:qFormat/>
    <w:uiPriority w:val="0"/>
    <w:pPr>
      <w:jc w:val="center"/>
    </w:pPr>
    <w:rPr>
      <w:sz w:val="18"/>
      <w:szCs w:val="18"/>
    </w:rPr>
  </w:style>
  <w:style w:type="paragraph" w:styleId="26">
    <w:name w:val="annotation subject"/>
    <w:basedOn w:val="10"/>
    <w:next w:val="10"/>
    <w:link w:val="47"/>
    <w:unhideWhenUsed/>
    <w:qFormat/>
    <w:uiPriority w:val="0"/>
    <w:rPr>
      <w:b/>
      <w:bCs/>
    </w:rPr>
  </w:style>
  <w:style w:type="paragraph" w:styleId="27">
    <w:name w:val="Body Text First Indent"/>
    <w:basedOn w:val="1"/>
    <w:qFormat/>
    <w:uiPriority w:val="0"/>
    <w:pPr>
      <w:tabs>
        <w:tab w:val="left" w:pos="560"/>
        <w:tab w:val="left" w:pos="3920"/>
        <w:tab w:val="left" w:pos="5600"/>
      </w:tabs>
      <w:ind w:firstLine="567"/>
      <w:textAlignment w:val="baseline"/>
    </w:p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qFormat/>
    <w:uiPriority w:val="0"/>
    <w:rPr>
      <w:rFonts w:cs="Times New Roman"/>
    </w:rPr>
  </w:style>
  <w:style w:type="character" w:styleId="33">
    <w:name w:val="Hyperlink"/>
    <w:unhideWhenUsed/>
    <w:qFormat/>
    <w:uiPriority w:val="99"/>
    <w:rPr>
      <w:color w:val="0000FF"/>
      <w:u w:val="single"/>
    </w:rPr>
  </w:style>
  <w:style w:type="character" w:styleId="34">
    <w:name w:val="annotation reference"/>
    <w:qFormat/>
    <w:uiPriority w:val="0"/>
    <w:rPr>
      <w:sz w:val="21"/>
      <w:szCs w:val="21"/>
    </w:rPr>
  </w:style>
  <w:style w:type="character" w:customStyle="1" w:styleId="35">
    <w:name w:val="君邦正文 Char Char"/>
    <w:link w:val="36"/>
    <w:qFormat/>
    <w:uiPriority w:val="0"/>
    <w:rPr>
      <w:bCs/>
      <w:snapToGrid w:val="0"/>
      <w:sz w:val="24"/>
      <w:lang w:val="en-US" w:eastAsia="zh-CN" w:bidi="ar-SA"/>
    </w:rPr>
  </w:style>
  <w:style w:type="paragraph" w:customStyle="1" w:styleId="36">
    <w:name w:val="君邦正文"/>
    <w:link w:val="35"/>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37">
    <w:name w:val="文档结构图 Char"/>
    <w:link w:val="9"/>
    <w:qFormat/>
    <w:uiPriority w:val="0"/>
    <w:rPr>
      <w:rFonts w:ascii="宋体"/>
      <w:kern w:val="2"/>
      <w:sz w:val="18"/>
      <w:szCs w:val="18"/>
    </w:rPr>
  </w:style>
  <w:style w:type="character" w:customStyle="1" w:styleId="38">
    <w:name w:val="标题 1 Char"/>
    <w:link w:val="4"/>
    <w:qFormat/>
    <w:uiPriority w:val="0"/>
    <w:rPr>
      <w:b/>
      <w:bCs/>
      <w:kern w:val="44"/>
      <w:sz w:val="44"/>
      <w:szCs w:val="44"/>
    </w:rPr>
  </w:style>
  <w:style w:type="character" w:customStyle="1" w:styleId="39">
    <w:name w:val="表格内容 Char"/>
    <w:link w:val="40"/>
    <w:qFormat/>
    <w:uiPriority w:val="0"/>
    <w:rPr>
      <w:sz w:val="24"/>
    </w:rPr>
  </w:style>
  <w:style w:type="paragraph" w:customStyle="1" w:styleId="40">
    <w:name w:val="表格内容"/>
    <w:basedOn w:val="7"/>
    <w:link w:val="39"/>
    <w:qFormat/>
    <w:uiPriority w:val="0"/>
    <w:pPr>
      <w:adjustRightInd w:val="0"/>
      <w:snapToGrid w:val="0"/>
      <w:spacing w:line="360" w:lineRule="atLeast"/>
      <w:jc w:val="center"/>
    </w:pPr>
    <w:rPr>
      <w:kern w:val="0"/>
    </w:rPr>
  </w:style>
  <w:style w:type="character" w:customStyle="1" w:styleId="41">
    <w:name w:val="副标题 Char"/>
    <w:link w:val="19"/>
    <w:qFormat/>
    <w:uiPriority w:val="0"/>
    <w:rPr>
      <w:rFonts w:ascii="Cambria" w:hAnsi="Cambria" w:cs="Times New Roman"/>
      <w:b/>
      <w:bCs/>
      <w:kern w:val="28"/>
      <w:sz w:val="24"/>
      <w:szCs w:val="32"/>
    </w:rPr>
  </w:style>
  <w:style w:type="character" w:customStyle="1" w:styleId="42">
    <w:name w:val="标题 2 Char"/>
    <w:link w:val="5"/>
    <w:qFormat/>
    <w:uiPriority w:val="0"/>
    <w:rPr>
      <w:rFonts w:ascii="黑体" w:hAnsi="黑体" w:eastAsia="黑体"/>
      <w:b/>
      <w:bCs/>
      <w:color w:val="000000"/>
      <w:kern w:val="2"/>
      <w:sz w:val="30"/>
      <w:szCs w:val="30"/>
    </w:rPr>
  </w:style>
  <w:style w:type="character" w:customStyle="1" w:styleId="43">
    <w:name w:val="批注框文本 Char"/>
    <w:link w:val="15"/>
    <w:qFormat/>
    <w:uiPriority w:val="0"/>
    <w:rPr>
      <w:kern w:val="2"/>
      <w:sz w:val="18"/>
      <w:szCs w:val="18"/>
    </w:rPr>
  </w:style>
  <w:style w:type="character" w:customStyle="1" w:styleId="44">
    <w:name w:val="Normal Char"/>
    <w:link w:val="45"/>
    <w:qFormat/>
    <w:uiPriority w:val="0"/>
    <w:rPr>
      <w:rFonts w:ascii="宋体"/>
      <w:sz w:val="24"/>
      <w:lang w:val="en-US" w:eastAsia="zh-CN" w:bidi="ar-SA"/>
    </w:rPr>
  </w:style>
  <w:style w:type="paragraph" w:customStyle="1" w:styleId="45">
    <w:name w:val="正文1"/>
    <w:link w:val="44"/>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46">
    <w:name w:val="页眉 Char"/>
    <w:link w:val="17"/>
    <w:qFormat/>
    <w:uiPriority w:val="99"/>
    <w:rPr>
      <w:kern w:val="2"/>
      <w:sz w:val="18"/>
      <w:szCs w:val="18"/>
    </w:rPr>
  </w:style>
  <w:style w:type="character" w:customStyle="1" w:styleId="47">
    <w:name w:val="批注主题 Char"/>
    <w:link w:val="26"/>
    <w:qFormat/>
    <w:uiPriority w:val="0"/>
    <w:rPr>
      <w:b/>
      <w:bCs/>
      <w:kern w:val="2"/>
      <w:sz w:val="21"/>
      <w:szCs w:val="24"/>
    </w:rPr>
  </w:style>
  <w:style w:type="character" w:customStyle="1" w:styleId="48">
    <w:name w:val="表格 Char"/>
    <w:link w:val="49"/>
    <w:qFormat/>
    <w:uiPriority w:val="0"/>
    <w:rPr>
      <w:bCs/>
      <w:color w:val="000000"/>
      <w:kern w:val="2"/>
      <w:sz w:val="18"/>
      <w:szCs w:val="21"/>
    </w:rPr>
  </w:style>
  <w:style w:type="paragraph" w:customStyle="1" w:styleId="49">
    <w:name w:val="表格"/>
    <w:basedOn w:val="1"/>
    <w:next w:val="1"/>
    <w:link w:val="48"/>
    <w:qFormat/>
    <w:uiPriority w:val="0"/>
    <w:pPr>
      <w:spacing w:line="240" w:lineRule="exact"/>
      <w:jc w:val="left"/>
    </w:pPr>
    <w:rPr>
      <w:bCs/>
      <w:color w:val="000000"/>
      <w:sz w:val="18"/>
      <w:szCs w:val="21"/>
    </w:rPr>
  </w:style>
  <w:style w:type="character" w:customStyle="1" w:styleId="50">
    <w:name w:val="正文小四 Char Char"/>
    <w:link w:val="51"/>
    <w:qFormat/>
    <w:uiPriority w:val="0"/>
    <w:rPr>
      <w:kern w:val="2"/>
      <w:sz w:val="24"/>
      <w:szCs w:val="24"/>
    </w:rPr>
  </w:style>
  <w:style w:type="paragraph" w:customStyle="1" w:styleId="51">
    <w:name w:val="正文小四"/>
    <w:basedOn w:val="1"/>
    <w:link w:val="50"/>
    <w:qFormat/>
    <w:uiPriority w:val="0"/>
    <w:pPr>
      <w:spacing w:line="360" w:lineRule="auto"/>
      <w:ind w:firstLine="480" w:firstLineChars="200"/>
    </w:pPr>
    <w:rPr>
      <w:sz w:val="24"/>
    </w:rPr>
  </w:style>
  <w:style w:type="character" w:customStyle="1" w:styleId="52">
    <w:name w:val="批注文字 Char"/>
    <w:link w:val="10"/>
    <w:qFormat/>
    <w:uiPriority w:val="0"/>
    <w:rPr>
      <w:kern w:val="2"/>
      <w:sz w:val="21"/>
      <w:szCs w:val="24"/>
    </w:rPr>
  </w:style>
  <w:style w:type="character" w:customStyle="1" w:styleId="53">
    <w:name w:val="style81"/>
    <w:qFormat/>
    <w:uiPriority w:val="0"/>
    <w:rPr>
      <w:rFonts w:cs="Times New Roman"/>
      <w:color w:val="FF6600"/>
    </w:rPr>
  </w:style>
  <w:style w:type="character" w:customStyle="1" w:styleId="54">
    <w:name w:val="正文缩进 Char"/>
    <w:link w:val="7"/>
    <w:qFormat/>
    <w:uiPriority w:val="0"/>
    <w:rPr>
      <w:kern w:val="2"/>
      <w:sz w:val="24"/>
    </w:rPr>
  </w:style>
  <w:style w:type="character" w:customStyle="1" w:styleId="55">
    <w:name w:val="标题 3 Char"/>
    <w:link w:val="6"/>
    <w:semiHidden/>
    <w:qFormat/>
    <w:uiPriority w:val="0"/>
    <w:rPr>
      <w:b/>
      <w:bCs/>
      <w:kern w:val="2"/>
      <w:sz w:val="32"/>
      <w:szCs w:val="32"/>
    </w:rPr>
  </w:style>
  <w:style w:type="paragraph" w:customStyle="1" w:styleId="56">
    <w:name w:val="表头"/>
    <w:basedOn w:val="1"/>
    <w:qFormat/>
    <w:uiPriority w:val="0"/>
    <w:pPr>
      <w:spacing w:line="240" w:lineRule="atLeast"/>
      <w:ind w:right="-105" w:rightChars="-50"/>
      <w:jc w:val="center"/>
    </w:pPr>
    <w:rPr>
      <w:rFonts w:ascii="宋体" w:hAnsi="宋体" w:cs="Arial"/>
      <w:b/>
      <w:color w:val="000000"/>
      <w:sz w:val="24"/>
    </w:rPr>
  </w:style>
  <w:style w:type="paragraph" w:customStyle="1" w:styleId="57">
    <w:name w:val="列出段落1"/>
    <w:basedOn w:val="1"/>
    <w:qFormat/>
    <w:uiPriority w:val="34"/>
    <w:pPr>
      <w:ind w:firstLine="420" w:firstLineChars="200"/>
    </w:pPr>
    <w:rPr>
      <w:szCs w:val="20"/>
    </w:rPr>
  </w:style>
  <w:style w:type="paragraph" w:customStyle="1" w:styleId="58">
    <w:name w:val="表 头"/>
    <w:basedOn w:val="1"/>
    <w:qFormat/>
    <w:uiPriority w:val="0"/>
    <w:pPr>
      <w:adjustRightInd w:val="0"/>
      <w:spacing w:before="120" w:after="120" w:line="360" w:lineRule="atLeast"/>
      <w:jc w:val="center"/>
    </w:pPr>
    <w:rPr>
      <w:rFonts w:eastAsia="黑体"/>
      <w:spacing w:val="10"/>
      <w:kern w:val="0"/>
      <w:sz w:val="24"/>
      <w:szCs w:val="20"/>
    </w:rPr>
  </w:style>
  <w:style w:type="paragraph" w:customStyle="1" w:styleId="59">
    <w:name w:val="样式 首行缩进:  1.34 厘米"/>
    <w:basedOn w:val="1"/>
    <w:qFormat/>
    <w:uiPriority w:val="0"/>
    <w:pPr>
      <w:spacing w:line="360" w:lineRule="auto"/>
      <w:ind w:firstLine="567"/>
    </w:pPr>
    <w:rPr>
      <w:sz w:val="28"/>
      <w:szCs w:val="20"/>
    </w:rPr>
  </w:style>
  <w:style w:type="paragraph" w:customStyle="1" w:styleId="60">
    <w:name w:val="文档一级标题"/>
    <w:basedOn w:val="1"/>
    <w:qFormat/>
    <w:uiPriority w:val="0"/>
    <w:rPr>
      <w:rFonts w:ascii="黑体" w:hAnsi="华文仿宋" w:eastAsia="黑体"/>
      <w:sz w:val="28"/>
    </w:rPr>
  </w:style>
  <w:style w:type="paragraph" w:customStyle="1" w:styleId="61">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2">
    <w:name w:val="表内字体"/>
    <w:basedOn w:val="1"/>
    <w:link w:val="108"/>
    <w:qFormat/>
    <w:uiPriority w:val="0"/>
    <w:rPr>
      <w:szCs w:val="22"/>
    </w:rPr>
  </w:style>
  <w:style w:type="paragraph" w:customStyle="1" w:styleId="63">
    <w:name w:val="段落"/>
    <w:basedOn w:val="1"/>
    <w:qFormat/>
    <w:uiPriority w:val="0"/>
    <w:pPr>
      <w:spacing w:line="500" w:lineRule="exact"/>
      <w:ind w:firstLine="200" w:firstLineChars="200"/>
    </w:pPr>
    <w:rPr>
      <w:spacing w:val="10"/>
      <w:sz w:val="28"/>
      <w:szCs w:val="20"/>
    </w:rPr>
  </w:style>
  <w:style w:type="paragraph" w:customStyle="1" w:styleId="64">
    <w:name w:val="xl29"/>
    <w:basedOn w:val="1"/>
    <w:qFormat/>
    <w:uiPriority w:val="0"/>
    <w:pPr>
      <w:widowControl/>
      <w:spacing w:before="100" w:after="100"/>
      <w:jc w:val="center"/>
    </w:pPr>
    <w:rPr>
      <w:kern w:val="0"/>
      <w:sz w:val="24"/>
      <w:szCs w:val="20"/>
    </w:rPr>
  </w:style>
  <w:style w:type="paragraph" w:customStyle="1" w:styleId="65">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66">
    <w:name w:val="列出段落2"/>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67">
    <w:name w:val="文档二级标题"/>
    <w:basedOn w:val="1"/>
    <w:qFormat/>
    <w:uiPriority w:val="0"/>
    <w:rPr>
      <w:rFonts w:ascii="黑体" w:hAnsi="华文仿宋" w:eastAsia="黑体"/>
      <w:sz w:val="28"/>
    </w:rPr>
  </w:style>
  <w:style w:type="paragraph" w:customStyle="1" w:styleId="68">
    <w:name w:val="表X－X"/>
    <w:basedOn w:val="1"/>
    <w:qFormat/>
    <w:uiPriority w:val="0"/>
    <w:pPr>
      <w:jc w:val="center"/>
    </w:pPr>
    <w:rPr>
      <w:rFonts w:ascii="黑体" w:hAnsi="华文仿宋" w:eastAsia="黑体"/>
      <w:sz w:val="28"/>
    </w:rPr>
  </w:style>
  <w:style w:type="paragraph" w:customStyle="1" w:styleId="69">
    <w:name w:val="样式2"/>
    <w:basedOn w:val="1"/>
    <w:qFormat/>
    <w:uiPriority w:val="0"/>
    <w:pPr>
      <w:ind w:firstLine="640" w:firstLineChars="200"/>
    </w:pPr>
    <w:rPr>
      <w:rFonts w:ascii="仿宋_GB2312" w:hAnsi="华文仿宋" w:eastAsia="仿宋_GB2312"/>
      <w:sz w:val="28"/>
    </w:rPr>
  </w:style>
  <w:style w:type="paragraph" w:customStyle="1" w:styleId="70">
    <w:name w:val="Char Char Char Char Char Char Char Char Char1 Char Char Char Char"/>
    <w:basedOn w:val="1"/>
    <w:qFormat/>
    <w:uiPriority w:val="0"/>
    <w:rPr>
      <w:sz w:val="24"/>
    </w:rPr>
  </w:style>
  <w:style w:type="paragraph" w:customStyle="1" w:styleId="71">
    <w:name w:val="无间隔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72">
    <w:name w:val="1"/>
    <w:basedOn w:val="1"/>
    <w:next w:val="11"/>
    <w:qFormat/>
    <w:uiPriority w:val="0"/>
    <w:pPr>
      <w:spacing w:line="360" w:lineRule="auto"/>
    </w:pPr>
    <w:rPr>
      <w:sz w:val="24"/>
    </w:rPr>
  </w:style>
  <w:style w:type="paragraph" w:customStyle="1" w:styleId="73">
    <w:name w:val="Char"/>
    <w:basedOn w:val="1"/>
    <w:qFormat/>
    <w:uiPriority w:val="0"/>
    <w:rPr>
      <w:szCs w:val="20"/>
    </w:rPr>
  </w:style>
  <w:style w:type="paragraph" w:customStyle="1" w:styleId="74">
    <w:name w:val="陈光的正文"/>
    <w:basedOn w:val="1"/>
    <w:qFormat/>
    <w:uiPriority w:val="0"/>
    <w:pPr>
      <w:adjustRightInd w:val="0"/>
      <w:snapToGrid w:val="0"/>
      <w:spacing w:before="31" w:after="31" w:line="360" w:lineRule="auto"/>
      <w:ind w:firstLine="560" w:firstLineChars="200"/>
    </w:pPr>
    <w:rPr>
      <w:sz w:val="28"/>
      <w:szCs w:val="20"/>
    </w:rPr>
  </w:style>
  <w:style w:type="paragraph" w:customStyle="1" w:styleId="75">
    <w:name w:val="列出段落3"/>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76">
    <w:name w:val="表内格式"/>
    <w:basedOn w:val="1"/>
    <w:link w:val="98"/>
    <w:qFormat/>
    <w:uiPriority w:val="0"/>
    <w:pPr>
      <w:spacing w:line="240" w:lineRule="exact"/>
      <w:jc w:val="center"/>
    </w:pPr>
    <w:rPr>
      <w:rFonts w:ascii="宋体" w:hAnsi="宋体"/>
      <w:szCs w:val="20"/>
    </w:rPr>
  </w:style>
  <w:style w:type="character" w:customStyle="1" w:styleId="77">
    <w:name w:val="表格整体 Char"/>
    <w:link w:val="78"/>
    <w:qFormat/>
    <w:uiPriority w:val="0"/>
    <w:rPr>
      <w:szCs w:val="21"/>
    </w:rPr>
  </w:style>
  <w:style w:type="paragraph" w:customStyle="1" w:styleId="78">
    <w:name w:val="表格整体"/>
    <w:basedOn w:val="1"/>
    <w:link w:val="77"/>
    <w:qFormat/>
    <w:uiPriority w:val="0"/>
    <w:pPr>
      <w:spacing w:line="240" w:lineRule="exact"/>
      <w:jc w:val="center"/>
    </w:pPr>
    <w:rPr>
      <w:kern w:val="0"/>
      <w:sz w:val="20"/>
      <w:szCs w:val="21"/>
    </w:rPr>
  </w:style>
  <w:style w:type="character" w:customStyle="1" w:styleId="79">
    <w:name w:val="apple-converted-space"/>
    <w:qFormat/>
    <w:uiPriority w:val="0"/>
  </w:style>
  <w:style w:type="paragraph" w:customStyle="1" w:styleId="80">
    <w:name w:val="BIAOGE"/>
    <w:basedOn w:val="81"/>
    <w:qFormat/>
    <w:uiPriority w:val="0"/>
    <w:pPr>
      <w:ind w:firstLine="0" w:firstLineChars="0"/>
    </w:pPr>
    <w:rPr>
      <w:b w:val="0"/>
    </w:rPr>
  </w:style>
  <w:style w:type="paragraph" w:customStyle="1" w:styleId="81">
    <w:name w:val="BIAOTI"/>
    <w:basedOn w:val="1"/>
    <w:qFormat/>
    <w:uiPriority w:val="99"/>
    <w:pPr>
      <w:ind w:firstLine="422" w:firstLineChars="200"/>
      <w:jc w:val="center"/>
    </w:pPr>
    <w:rPr>
      <w:b/>
      <w:bCs/>
      <w:szCs w:val="21"/>
    </w:rPr>
  </w:style>
  <w:style w:type="paragraph" w:customStyle="1" w:styleId="82">
    <w:name w:val="ZW"/>
    <w:basedOn w:val="1"/>
    <w:qFormat/>
    <w:uiPriority w:val="0"/>
    <w:pPr>
      <w:spacing w:line="360" w:lineRule="auto"/>
      <w:ind w:firstLine="480" w:firstLineChars="200"/>
    </w:pPr>
    <w:rPr>
      <w:bCs/>
      <w:sz w:val="24"/>
    </w:rPr>
  </w:style>
  <w:style w:type="character" w:customStyle="1" w:styleId="83">
    <w:name w:val="页脚 Char"/>
    <w:link w:val="16"/>
    <w:qFormat/>
    <w:uiPriority w:val="99"/>
    <w:rPr>
      <w:kern w:val="2"/>
      <w:sz w:val="18"/>
      <w:szCs w:val="18"/>
    </w:rPr>
  </w:style>
  <w:style w:type="paragraph" w:customStyle="1" w:styleId="84">
    <w:name w:val="正文表标题"/>
    <w:next w:val="1"/>
    <w:qFormat/>
    <w:uiPriority w:val="0"/>
    <w:pPr>
      <w:numPr>
        <w:ilvl w:val="0"/>
        <w:numId w:val="1"/>
      </w:numPr>
      <w:tabs>
        <w:tab w:val="left" w:pos="360"/>
        <w:tab w:val="clear" w:pos="720"/>
      </w:tabs>
      <w:spacing w:beforeLines="50" w:afterLines="50"/>
      <w:jc w:val="center"/>
    </w:pPr>
    <w:rPr>
      <w:rFonts w:ascii="黑体" w:hAnsi="Times New Roman" w:eastAsia="黑体" w:cs="Times New Roman"/>
      <w:sz w:val="21"/>
      <w:lang w:val="en-US" w:eastAsia="zh-CN" w:bidi="ar-SA"/>
    </w:rPr>
  </w:style>
  <w:style w:type="paragraph" w:customStyle="1" w:styleId="85">
    <w:name w:val="列出段落11"/>
    <w:basedOn w:val="1"/>
    <w:qFormat/>
    <w:uiPriority w:val="0"/>
    <w:pPr>
      <w:ind w:firstLine="420" w:firstLineChars="200"/>
    </w:pPr>
  </w:style>
  <w:style w:type="character" w:customStyle="1" w:styleId="86">
    <w:name w:val="环科院正文 Char Char Char"/>
    <w:link w:val="87"/>
    <w:qFormat/>
    <w:uiPriority w:val="0"/>
    <w:rPr>
      <w:sz w:val="24"/>
      <w:szCs w:val="24"/>
    </w:rPr>
  </w:style>
  <w:style w:type="paragraph" w:customStyle="1" w:styleId="87">
    <w:name w:val="环科院正文 Char Char"/>
    <w:basedOn w:val="1"/>
    <w:link w:val="86"/>
    <w:qFormat/>
    <w:uiPriority w:val="0"/>
    <w:pPr>
      <w:spacing w:line="300" w:lineRule="auto"/>
      <w:ind w:firstLine="480" w:firstLineChars="200"/>
    </w:pPr>
    <w:rPr>
      <w:kern w:val="0"/>
      <w:sz w:val="24"/>
    </w:rPr>
  </w:style>
  <w:style w:type="paragraph" w:customStyle="1" w:styleId="88">
    <w:name w:val="正文（行首缩进）"/>
    <w:basedOn w:val="1"/>
    <w:qFormat/>
    <w:uiPriority w:val="0"/>
    <w:pPr>
      <w:spacing w:line="360" w:lineRule="auto"/>
      <w:ind w:firstLine="200" w:firstLineChars="200"/>
    </w:pPr>
    <w:rPr>
      <w:kern w:val="44"/>
      <w:position w:val="-8"/>
      <w:sz w:val="28"/>
      <w:szCs w:val="28"/>
    </w:rPr>
  </w:style>
  <w:style w:type="character" w:customStyle="1" w:styleId="89">
    <w:name w:val="标题1"/>
    <w:qFormat/>
    <w:uiPriority w:val="0"/>
  </w:style>
  <w:style w:type="paragraph" w:customStyle="1" w:styleId="90">
    <w:name w:val="环科院插图标题"/>
    <w:basedOn w:val="1"/>
    <w:qFormat/>
    <w:uiPriority w:val="0"/>
    <w:pPr>
      <w:spacing w:afterLines="50"/>
      <w:jc w:val="center"/>
    </w:pPr>
    <w:rPr>
      <w:rFonts w:eastAsia="黑体"/>
      <w:b/>
      <w:szCs w:val="21"/>
    </w:rPr>
  </w:style>
  <w:style w:type="paragraph" w:customStyle="1" w:styleId="91">
    <w:name w:val="列出段落4"/>
    <w:basedOn w:val="1"/>
    <w:qFormat/>
    <w:uiPriority w:val="34"/>
    <w:pPr>
      <w:ind w:firstLine="420" w:firstLineChars="200"/>
    </w:pPr>
    <w:rPr>
      <w:rFonts w:ascii="Calibri" w:hAnsi="Calibri"/>
      <w:szCs w:val="22"/>
    </w:rPr>
  </w:style>
  <w:style w:type="character" w:customStyle="1" w:styleId="92">
    <w:name w:val="fontstyle01"/>
    <w:basedOn w:val="31"/>
    <w:qFormat/>
    <w:uiPriority w:val="0"/>
    <w:rPr>
      <w:rFonts w:hint="eastAsia" w:ascii="楷体_GB2312" w:eastAsia="楷体_GB2312"/>
      <w:color w:val="000000"/>
      <w:sz w:val="24"/>
      <w:szCs w:val="24"/>
    </w:rPr>
  </w:style>
  <w:style w:type="character" w:customStyle="1" w:styleId="93">
    <w:name w:val="fontstyle21"/>
    <w:basedOn w:val="31"/>
    <w:qFormat/>
    <w:uiPriority w:val="0"/>
    <w:rPr>
      <w:rFonts w:hint="default" w:ascii="Times New Roman" w:hAnsi="Times New Roman" w:cs="Times New Roman"/>
      <w:color w:val="000000"/>
      <w:sz w:val="24"/>
      <w:szCs w:val="24"/>
    </w:rPr>
  </w:style>
  <w:style w:type="character" w:customStyle="1" w:styleId="94">
    <w:name w:val="fontstyle11"/>
    <w:basedOn w:val="31"/>
    <w:qFormat/>
    <w:uiPriority w:val="0"/>
    <w:rPr>
      <w:rFonts w:hint="eastAsia" w:ascii="宋体" w:hAnsi="宋体" w:eastAsia="宋体"/>
      <w:color w:val="000000"/>
      <w:sz w:val="18"/>
      <w:szCs w:val="18"/>
    </w:rPr>
  </w:style>
  <w:style w:type="character" w:customStyle="1" w:styleId="95">
    <w:name w:val="fontstyle31"/>
    <w:basedOn w:val="31"/>
    <w:qFormat/>
    <w:uiPriority w:val="0"/>
    <w:rPr>
      <w:rFonts w:hint="eastAsia" w:ascii="宋体" w:hAnsi="宋体" w:eastAsia="宋体"/>
      <w:color w:val="000000"/>
      <w:sz w:val="24"/>
      <w:szCs w:val="24"/>
    </w:rPr>
  </w:style>
  <w:style w:type="character" w:customStyle="1" w:styleId="96">
    <w:name w:val="font21"/>
    <w:basedOn w:val="31"/>
    <w:qFormat/>
    <w:uiPriority w:val="0"/>
    <w:rPr>
      <w:rFonts w:hint="default" w:ascii="仿宋_GB2312" w:eastAsia="仿宋_GB2312" w:cs="仿宋_GB2312"/>
      <w:color w:val="000000"/>
      <w:sz w:val="24"/>
      <w:szCs w:val="24"/>
      <w:u w:val="none"/>
    </w:rPr>
  </w:style>
  <w:style w:type="character" w:customStyle="1" w:styleId="97">
    <w:name w:val="font41"/>
    <w:basedOn w:val="31"/>
    <w:qFormat/>
    <w:uiPriority w:val="0"/>
    <w:rPr>
      <w:rFonts w:hint="default" w:ascii="Times New Roman" w:hAnsi="Times New Roman" w:cs="Times New Roman"/>
      <w:color w:val="000000"/>
      <w:sz w:val="20"/>
      <w:szCs w:val="20"/>
      <w:u w:val="none"/>
    </w:rPr>
  </w:style>
  <w:style w:type="character" w:customStyle="1" w:styleId="98">
    <w:name w:val="表内格式 Char Char"/>
    <w:link w:val="76"/>
    <w:qFormat/>
    <w:locked/>
    <w:uiPriority w:val="0"/>
    <w:rPr>
      <w:rFonts w:ascii="宋体" w:hAnsi="宋体"/>
      <w:kern w:val="2"/>
      <w:sz w:val="21"/>
    </w:rPr>
  </w:style>
  <w:style w:type="paragraph" w:customStyle="1" w:styleId="99">
    <w:name w:val="市环科院正文"/>
    <w:basedOn w:val="1"/>
    <w:link w:val="100"/>
    <w:qFormat/>
    <w:uiPriority w:val="0"/>
    <w:pPr>
      <w:spacing w:line="300" w:lineRule="auto"/>
      <w:ind w:firstLine="480" w:firstLineChars="200"/>
    </w:pPr>
    <w:rPr>
      <w:kern w:val="0"/>
      <w:sz w:val="24"/>
    </w:rPr>
  </w:style>
  <w:style w:type="character" w:customStyle="1" w:styleId="100">
    <w:name w:val="市环科院正文 Char"/>
    <w:link w:val="99"/>
    <w:qFormat/>
    <w:uiPriority w:val="0"/>
    <w:rPr>
      <w:sz w:val="24"/>
      <w:szCs w:val="24"/>
    </w:rPr>
  </w:style>
  <w:style w:type="character" w:customStyle="1" w:styleId="101">
    <w:name w:val="君邦正文 Char2"/>
    <w:qFormat/>
    <w:uiPriority w:val="0"/>
    <w:rPr>
      <w:rFonts w:eastAsia="宋体"/>
      <w:kern w:val="2"/>
      <w:sz w:val="24"/>
      <w:lang w:val="en-US" w:eastAsia="zh-CN" w:bidi="ar-SA"/>
    </w:rPr>
  </w:style>
  <w:style w:type="paragraph" w:customStyle="1" w:styleId="102">
    <w:name w:val="表格标题0000"/>
    <w:basedOn w:val="1"/>
    <w:qFormat/>
    <w:uiPriority w:val="0"/>
    <w:pPr>
      <w:jc w:val="center"/>
    </w:pPr>
    <w:rPr>
      <w:rFonts w:eastAsia="黑体"/>
      <w:b/>
    </w:rPr>
  </w:style>
  <w:style w:type="paragraph" w:customStyle="1" w:styleId="103">
    <w:name w:val="表格0000"/>
    <w:basedOn w:val="1"/>
    <w:qFormat/>
    <w:uiPriority w:val="0"/>
    <w:pPr>
      <w:jc w:val="center"/>
    </w:pPr>
    <w:rPr>
      <w:sz w:val="18"/>
    </w:rPr>
  </w:style>
  <w:style w:type="character" w:customStyle="1" w:styleId="104">
    <w:name w:val="纯文本 Char"/>
    <w:basedOn w:val="31"/>
    <w:link w:val="12"/>
    <w:qFormat/>
    <w:uiPriority w:val="0"/>
    <w:rPr>
      <w:rFonts w:ascii="宋体" w:hAnsi="Courier New"/>
      <w:kern w:val="2"/>
      <w:sz w:val="28"/>
      <w:szCs w:val="22"/>
    </w:rPr>
  </w:style>
  <w:style w:type="character" w:customStyle="1" w:styleId="105">
    <w:name w:val="表头样式1 Char Char"/>
    <w:qFormat/>
    <w:uiPriority w:val="0"/>
    <w:rPr>
      <w:rFonts w:eastAsia="宋体"/>
      <w:b/>
      <w:bCs/>
      <w:sz w:val="21"/>
      <w:szCs w:val="21"/>
      <w:lang w:val="en-US" w:eastAsia="zh-CN" w:bidi="ar-SA"/>
    </w:rPr>
  </w:style>
  <w:style w:type="character" w:customStyle="1" w:styleId="106">
    <w:name w:val="正文文本 2 Char"/>
    <w:basedOn w:val="31"/>
    <w:link w:val="23"/>
    <w:semiHidden/>
    <w:qFormat/>
    <w:uiPriority w:val="0"/>
    <w:rPr>
      <w:kern w:val="2"/>
      <w:sz w:val="21"/>
      <w:szCs w:val="24"/>
    </w:rPr>
  </w:style>
  <w:style w:type="character" w:customStyle="1" w:styleId="107">
    <w:name w:val="表内格式 Char1"/>
    <w:qFormat/>
    <w:uiPriority w:val="0"/>
    <w:rPr>
      <w:rFonts w:eastAsia="宋体"/>
      <w:kern w:val="2"/>
      <w:sz w:val="18"/>
      <w:lang w:val="en-US" w:eastAsia="zh-CN" w:bidi="ar-SA"/>
    </w:rPr>
  </w:style>
  <w:style w:type="character" w:customStyle="1" w:styleId="108">
    <w:name w:val="表内字体 Char"/>
    <w:link w:val="62"/>
    <w:qFormat/>
    <w:uiPriority w:val="0"/>
    <w:rPr>
      <w:kern w:val="2"/>
      <w:sz w:val="21"/>
      <w:szCs w:val="22"/>
    </w:rPr>
  </w:style>
  <w:style w:type="character" w:customStyle="1" w:styleId="109">
    <w:name w:val="表格内文字 Char"/>
    <w:link w:val="110"/>
    <w:qFormat/>
    <w:uiPriority w:val="0"/>
    <w:rPr>
      <w:rFonts w:eastAsia="黑体"/>
      <w:b/>
      <w:spacing w:val="1"/>
      <w:kern w:val="2"/>
      <w:sz w:val="18"/>
      <w:szCs w:val="18"/>
    </w:rPr>
  </w:style>
  <w:style w:type="paragraph" w:customStyle="1" w:styleId="110">
    <w:name w:val="表格内文字"/>
    <w:basedOn w:val="1"/>
    <w:link w:val="109"/>
    <w:qFormat/>
    <w:uiPriority w:val="0"/>
    <w:pPr>
      <w:adjustRightInd w:val="0"/>
      <w:snapToGrid w:val="0"/>
      <w:jc w:val="center"/>
    </w:pPr>
    <w:rPr>
      <w:rFonts w:eastAsia="黑体"/>
      <w:b/>
      <w:spacing w:val="1"/>
      <w:sz w:val="18"/>
      <w:szCs w:val="18"/>
    </w:rPr>
  </w:style>
  <w:style w:type="table" w:customStyle="1" w:styleId="111">
    <w:name w:val="Table Normal"/>
    <w:basedOn w:val="28"/>
    <w:qFormat/>
    <w:uiPriority w:val="0"/>
    <w:rPr>
      <w:rFonts w:eastAsia="Times New Roman"/>
    </w:rPr>
    <w:tblPr>
      <w:tblCellMar>
        <w:left w:w="0" w:type="dxa"/>
        <w:right w:w="0" w:type="dxa"/>
      </w:tblCellMar>
    </w:tblPr>
  </w:style>
  <w:style w:type="paragraph" w:customStyle="1" w:styleId="112">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Table Paragraph"/>
    <w:basedOn w:val="1"/>
    <w:qFormat/>
    <w:uiPriority w:val="1"/>
    <w:pPr>
      <w:autoSpaceDE w:val="0"/>
      <w:autoSpaceDN w:val="0"/>
      <w:jc w:val="center"/>
    </w:pPr>
    <w:rPr>
      <w:rFonts w:ascii="楷体" w:hAnsi="楷体" w:eastAsia="楷体" w:cs="楷体"/>
      <w:kern w:val="0"/>
      <w:sz w:val="22"/>
      <w:szCs w:val="22"/>
      <w:lang w:val="zh-CN" w:bidi="zh-CN"/>
    </w:rPr>
  </w:style>
  <w:style w:type="paragraph" w:customStyle="1" w:styleId="11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15">
    <w:name w:val="Body text|1_"/>
    <w:basedOn w:val="31"/>
    <w:link w:val="116"/>
    <w:qFormat/>
    <w:uiPriority w:val="0"/>
    <w:rPr>
      <w:rFonts w:ascii="宋体" w:hAnsi="宋体" w:cs="宋体"/>
      <w:sz w:val="22"/>
      <w:szCs w:val="22"/>
      <w:lang w:val="zh-TW" w:eastAsia="zh-TW" w:bidi="zh-TW"/>
    </w:rPr>
  </w:style>
  <w:style w:type="paragraph" w:customStyle="1" w:styleId="116">
    <w:name w:val="Body text|1"/>
    <w:basedOn w:val="1"/>
    <w:link w:val="115"/>
    <w:qFormat/>
    <w:uiPriority w:val="0"/>
    <w:pPr>
      <w:spacing w:line="418" w:lineRule="auto"/>
      <w:jc w:val="left"/>
    </w:pPr>
    <w:rPr>
      <w:rFonts w:ascii="宋体" w:hAnsi="宋体" w:cs="宋体"/>
      <w:kern w:val="0"/>
      <w:sz w:val="22"/>
      <w:szCs w:val="22"/>
      <w:lang w:val="zh-TW" w:eastAsia="zh-TW" w:bidi="zh-TW"/>
    </w:rPr>
  </w:style>
  <w:style w:type="paragraph" w:customStyle="1" w:styleId="117">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18">
    <w:name w:val="报告书类型"/>
    <w:next w:val="1"/>
    <w:qFormat/>
    <w:uiPriority w:val="99"/>
    <w:pPr>
      <w:widowControl w:val="0"/>
      <w:suppressAutoHyphens/>
      <w:spacing w:line="360" w:lineRule="auto"/>
      <w:jc w:val="center"/>
    </w:pPr>
    <w:rPr>
      <w:rFonts w:ascii="Times New Roman" w:hAnsi="Times New Roman" w:eastAsia="黑体" w:cs="等线"/>
      <w:kern w:val="52"/>
      <w:sz w:val="48"/>
      <w:szCs w:val="48"/>
      <w:lang w:val="en-US" w:eastAsia="ar-SA" w:bidi="ar-SA"/>
    </w:rPr>
  </w:style>
  <w:style w:type="paragraph" w:customStyle="1" w:styleId="119">
    <w:name w:val="报告书正文"/>
    <w:basedOn w:val="1"/>
    <w:qFormat/>
    <w:uiPriority w:val="0"/>
    <w:pPr>
      <w:widowControl/>
      <w:spacing w:line="360" w:lineRule="auto"/>
      <w:ind w:firstLine="480" w:firstLineChars="200"/>
    </w:pPr>
    <w:rPr>
      <w:kern w:val="0"/>
      <w:sz w:val="24"/>
      <w:szCs w:val="20"/>
    </w:rPr>
  </w:style>
  <w:style w:type="paragraph" w:customStyle="1" w:styleId="120">
    <w:name w:val="环科院页眉"/>
    <w:basedOn w:val="1"/>
    <w:qFormat/>
    <w:uiPriority w:val="0"/>
    <w:pPr>
      <w:pBdr>
        <w:bottom w:val="thickThinSmallGap" w:color="auto" w:sz="24" w:space="0"/>
      </w:pBdr>
      <w:tabs>
        <w:tab w:val="center" w:pos="4153"/>
        <w:tab w:val="right" w:pos="8306"/>
      </w:tabs>
      <w:snapToGrid w:val="0"/>
      <w:jc w:val="center"/>
    </w:pPr>
    <w:rPr>
      <w:bCs/>
      <w:color w:val="000000"/>
      <w:sz w:val="18"/>
      <w:szCs w:val="15"/>
    </w:rPr>
  </w:style>
  <w:style w:type="paragraph" w:customStyle="1" w:styleId="121">
    <w:name w:val="正文修改"/>
    <w:basedOn w:val="1"/>
    <w:qFormat/>
    <w:uiPriority w:val="0"/>
    <w:pPr>
      <w:spacing w:line="360" w:lineRule="auto"/>
      <w:ind w:firstLine="480" w:firstLineChars="200"/>
    </w:pPr>
    <w:rPr>
      <w:kern w:val="0"/>
      <w:sz w:val="24"/>
      <w:lang w:val="zh-CN"/>
    </w:rPr>
  </w:style>
  <w:style w:type="paragraph" w:customStyle="1" w:styleId="122">
    <w:name w:val="2表头"/>
    <w:basedOn w:val="1"/>
    <w:qFormat/>
    <w:uiPriority w:val="0"/>
    <w:pPr>
      <w:jc w:val="center"/>
    </w:pPr>
    <w:rPr>
      <w:rFonts w:eastAsia="黑体"/>
      <w:b/>
      <w:kern w:val="0"/>
      <w:sz w:val="24"/>
      <w:szCs w:val="20"/>
    </w:rPr>
  </w:style>
  <w:style w:type="paragraph" w:customStyle="1" w:styleId="123">
    <w:name w:val="小5表文字"/>
    <w:basedOn w:val="1"/>
    <w:qFormat/>
    <w:uiPriority w:val="0"/>
    <w:pPr>
      <w:snapToGrid w:val="0"/>
      <w:jc w:val="center"/>
    </w:pPr>
    <w:rPr>
      <w:sz w:val="18"/>
      <w:szCs w:val="18"/>
    </w:rPr>
  </w:style>
  <w:style w:type="paragraph" w:customStyle="1" w:styleId="124">
    <w:name w:val="lgy表名"/>
    <w:qFormat/>
    <w:uiPriority w:val="0"/>
    <w:pPr>
      <w:widowControl w:val="0"/>
      <w:adjustRightInd w:val="0"/>
      <w:snapToGrid w:val="0"/>
      <w:jc w:val="center"/>
    </w:pPr>
    <w:rPr>
      <w:rFonts w:ascii="Times New Roman" w:hAnsi="Times New Roman" w:eastAsia="楷体_GB2312" w:cs="Times New Roman"/>
      <w:b/>
      <w:color w:val="000000"/>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oleObject" Target="embeddings/oleObject4.bin"/><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emf"/><Relationship Id="rId14" Type="http://schemas.openxmlformats.org/officeDocument/2006/relationships/oleObject" Target="embeddings/oleObject3.bin"/><Relationship Id="rId13" Type="http://schemas.openxmlformats.org/officeDocument/2006/relationships/image" Target="media/image6.emf"/><Relationship Id="rId12" Type="http://schemas.openxmlformats.org/officeDocument/2006/relationships/oleObject" Target="embeddings/oleObject2.bin"/><Relationship Id="rId11" Type="http://schemas.openxmlformats.org/officeDocument/2006/relationships/image" Target="media/image5.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223FEF-4F0C-4C7F-B33D-DCF7C2E373C9}">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42</Pages>
  <Words>29441</Words>
  <Characters>33956</Characters>
  <Lines>277</Lines>
  <Paragraphs>78</Paragraphs>
  <TotalTime>3</TotalTime>
  <ScaleCrop>false</ScaleCrop>
  <LinksUpToDate>false</LinksUpToDate>
  <CharactersWithSpaces>35380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2021-10-12T08:30:00Z</dcterms:created>
  <dc:creator>Administrator</dc:creator>
  <cp:lastModifiedBy>ZHOUJINGHUI</cp:lastModifiedBy>
  <cp:lastPrinted>2022-03-21T05:15:00Z</cp:lastPrinted>
  <dcterms:modified xsi:type="dcterms:W3CDTF">2022-04-01T05:29:09Z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054BE9722F2B45A9BE7B1D12CE7BF2C0</vt:lpwstr>
  </property>
</Properties>
</file>